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EA" w:rsidRPr="00B97EB4" w:rsidRDefault="00ED6455" w:rsidP="00CF0DCC">
      <w:pPr>
        <w:pStyle w:val="berschrift1"/>
        <w:spacing w:before="0" w:after="120" w:line="360" w:lineRule="auto"/>
        <w:jc w:val="both"/>
        <w:rPr>
          <w:rFonts w:ascii="Garamond" w:hAnsi="Garamond" w:cs="Times New Roman"/>
          <w:b/>
          <w:color w:val="auto"/>
          <w:sz w:val="24"/>
          <w:szCs w:val="24"/>
        </w:rPr>
      </w:pPr>
      <w:r>
        <w:rPr>
          <w:rFonts w:ascii="Garamond" w:hAnsi="Garamond" w:cs="Times New Roman"/>
          <w:b/>
          <w:color w:val="auto"/>
          <w:sz w:val="24"/>
          <w:szCs w:val="24"/>
        </w:rPr>
        <w:t>A b</w:t>
      </w:r>
      <w:r w:rsidR="00296FB1">
        <w:rPr>
          <w:rFonts w:ascii="Garamond" w:hAnsi="Garamond" w:cs="Times New Roman"/>
          <w:b/>
          <w:color w:val="auto"/>
          <w:sz w:val="24"/>
          <w:szCs w:val="24"/>
        </w:rPr>
        <w:t>ackground to Darfur’s security l</w:t>
      </w:r>
      <w:r w:rsidR="00596DEA" w:rsidRPr="00B97EB4">
        <w:rPr>
          <w:rFonts w:ascii="Garamond" w:hAnsi="Garamond" w:cs="Times New Roman"/>
          <w:b/>
          <w:color w:val="auto"/>
          <w:sz w:val="24"/>
          <w:szCs w:val="24"/>
        </w:rPr>
        <w:t>andscape in 2008-2009</w:t>
      </w:r>
    </w:p>
    <w:p w:rsidR="00596DEA" w:rsidRPr="00CF0DCC" w:rsidRDefault="00596DEA" w:rsidP="00CF0DCC">
      <w:pPr>
        <w:spacing w:after="120" w:line="360" w:lineRule="auto"/>
        <w:jc w:val="both"/>
        <w:rPr>
          <w:rFonts w:ascii="Garamond" w:hAnsi="Garamond"/>
        </w:rPr>
      </w:pPr>
      <w:r w:rsidRPr="00CF0DCC">
        <w:rPr>
          <w:rFonts w:ascii="Garamond" w:hAnsi="Garamond"/>
        </w:rPr>
        <w:t xml:space="preserve">In late 2002, two </w:t>
      </w:r>
      <w:proofErr w:type="spellStart"/>
      <w:r w:rsidRPr="00CF0DCC">
        <w:rPr>
          <w:rFonts w:ascii="Garamond" w:hAnsi="Garamond"/>
        </w:rPr>
        <w:t>Darfurian</w:t>
      </w:r>
      <w:proofErr w:type="spellEnd"/>
      <w:r w:rsidRPr="00CF0DCC">
        <w:rPr>
          <w:rFonts w:ascii="Garamond" w:hAnsi="Garamond"/>
        </w:rPr>
        <w:t xml:space="preserve"> rebel movements – the Sudan Liberation Movement/Army (SLM/A) and the Justice and Equality Movement (JEM) – took up arms against the </w:t>
      </w:r>
      <w:r w:rsidR="003B6B03">
        <w:rPr>
          <w:rFonts w:ascii="Garamond" w:hAnsi="Garamond"/>
        </w:rPr>
        <w:t>Sudanese government</w:t>
      </w:r>
      <w:r w:rsidRPr="00CF0DCC">
        <w:rPr>
          <w:rFonts w:ascii="Garamond" w:hAnsi="Garamond"/>
        </w:rPr>
        <w:t xml:space="preserve"> seeking radical reform of the national government </w:t>
      </w:r>
      <w:r w:rsidRPr="00CF0DCC">
        <w:rPr>
          <w:rFonts w:ascii="Garamond" w:hAnsi="Garamond"/>
        </w:rPr>
        <w:fldChar w:fldCharType="begin"/>
      </w:r>
      <w:r w:rsidRPr="00CF0DCC">
        <w:rPr>
          <w:rFonts w:ascii="Garamond" w:hAnsi="Garamond"/>
        </w:rPr>
        <w:instrText xml:space="preserve"> ADDIN EN.CITE &lt;EndNote&gt;&lt;Cite&gt;&lt;Author&gt;Flint&lt;/Author&gt;&lt;Year&gt;2008&lt;/Year&gt;&lt;RecNum&gt;1111&lt;/RecNum&gt;&lt;DisplayText&gt;(Flint and de Waal, 2008; Brosché and Duursma, 2017)&lt;/DisplayText&gt;&lt;record&gt;&lt;rec-number&gt;1111&lt;/rec-number&gt;&lt;foreign-keys&gt;&lt;key app="EN" db-id="swpt0zpavdd5ayez9sqp5ss32d9dxxwzdwsp" timestamp="1429098407"&gt;1111&lt;/key&gt;&lt;/foreign-keys&gt;&lt;ref-type name="Book"&gt;6&lt;/ref-type&gt;&lt;contributors&gt;&lt;authors&gt;&lt;author&gt;Flint, Julie&lt;/author&gt;&lt;author&gt;de Waal, Alex&lt;/author&gt;&lt;/authors&gt;&lt;/contributors&gt;&lt;titles&gt;&lt;title&gt;Darfur: A New History of a Long War&lt;/title&gt;&lt;/titles&gt;&lt;dates&gt;&lt;year&gt;2008&lt;/year&gt;&lt;/dates&gt;&lt;pub-location&gt;London&lt;/pub-location&gt;&lt;publisher&gt;Zed Books&lt;/publisher&gt;&lt;isbn&gt;9781842779507&lt;/isbn&gt;&lt;urls&gt;&lt;related-urls&gt;&lt;url&gt;http://books.google.nl/books?id=RSRzAAAAMAAJ&lt;/url&gt;&lt;/related-urls&gt;&lt;/urls&gt;&lt;/record&gt;&lt;/Cite&gt;&lt;Cite&gt;&lt;Author&gt;Brosché&lt;/Author&gt;&lt;Year&gt;2017&lt;/Year&gt;&lt;RecNum&gt;1851&lt;/RecNum&gt;&lt;record&gt;&lt;rec-number&gt;1851&lt;/rec-number&gt;&lt;foreign-keys&gt;&lt;key app="EN" db-id="swpt0zpavdd5ayez9sqp5ss32d9dxxwzdwsp" timestamp="1499332467"&gt;1851&lt;/key&gt;&lt;/foreign-keys&gt;&lt;ref-type name="Journal Article"&gt;17&lt;/ref-type&gt;&lt;contributors&gt;&lt;authors&gt;&lt;author&gt;Brosché, Johan&lt;/author&gt;&lt;author&gt;Duursma, Allard&lt;/author&gt;&lt;/authors&gt;&lt;/contributors&gt;&lt;titles&gt;&lt;title&gt;Hurdles to peace: a level-of-analysis approach to resolving Sudan’s civil wars&lt;/title&gt;&lt;secondary-title&gt;Third World Quarterly&lt;/secondary-title&gt;&lt;/titles&gt;&lt;periodical&gt;&lt;full-title&gt;Third World Quarterly&lt;/full-title&gt;&lt;abbr-1&gt;Third World Q&lt;/abbr-1&gt;&lt;/periodical&gt;&lt;dates&gt;&lt;year&gt;2017&lt;/year&gt;&lt;/dates&gt;&lt;publisher&gt;Routledge&lt;/publisher&gt;&lt;isbn&gt;0143-6597&lt;/isbn&gt;&lt;urls&gt;&lt;related-urls&gt;&lt;url&gt;http://dx.doi.org/10.1080/01436597.2017.1333417&lt;/url&gt;&lt;/related-urls&gt;&lt;/urls&gt;&lt;electronic-resource-num&gt;10.1080/01436597.2017.1333417&lt;/electronic-resource-num&gt;&lt;/record&gt;&lt;/Cite&gt;&lt;/EndNote&gt;</w:instrText>
      </w:r>
      <w:r w:rsidRPr="00CF0DCC">
        <w:rPr>
          <w:rFonts w:ascii="Garamond" w:hAnsi="Garamond"/>
        </w:rPr>
        <w:fldChar w:fldCharType="separate"/>
      </w:r>
      <w:r w:rsidRPr="00CF0DCC">
        <w:rPr>
          <w:rFonts w:ascii="Garamond" w:hAnsi="Garamond"/>
        </w:rPr>
        <w:t>(Flint and de Waal, 2008; Brosché and Duursma, 2017)</w:t>
      </w:r>
      <w:r w:rsidRPr="00CF0DCC">
        <w:rPr>
          <w:rFonts w:ascii="Garamond" w:hAnsi="Garamond"/>
        </w:rPr>
        <w:fldChar w:fldCharType="end"/>
      </w:r>
      <w:r w:rsidRPr="00CF0DCC">
        <w:rPr>
          <w:rFonts w:ascii="Garamond" w:hAnsi="Garamond"/>
        </w:rPr>
        <w:t xml:space="preserve">. The high intensity of the conflict led to calls for the deployment of peacekeepers and </w:t>
      </w:r>
      <w:r w:rsidR="003B6B03">
        <w:rPr>
          <w:rFonts w:ascii="Garamond" w:hAnsi="Garamond"/>
        </w:rPr>
        <w:t>following the conclusion of the</w:t>
      </w:r>
      <w:r w:rsidR="003B6B03" w:rsidRPr="00CF0DCC">
        <w:rPr>
          <w:rFonts w:ascii="Garamond" w:hAnsi="Garamond"/>
        </w:rPr>
        <w:t xml:space="preserve"> N’Djamena</w:t>
      </w:r>
      <w:r w:rsidRPr="00CF0DCC">
        <w:rPr>
          <w:rFonts w:ascii="Garamond" w:hAnsi="Garamond"/>
        </w:rPr>
        <w:t xml:space="preserve"> Ceasefire Agreement on 8 April 2004, the AU started the deployment of a small peacekeeping mission, which </w:t>
      </w:r>
      <w:proofErr w:type="gramStart"/>
      <w:r w:rsidRPr="00CF0DCC">
        <w:rPr>
          <w:rFonts w:ascii="Garamond" w:hAnsi="Garamond"/>
        </w:rPr>
        <w:t>was subsequently expanded</w:t>
      </w:r>
      <w:proofErr w:type="gramEnd"/>
      <w:r w:rsidRPr="00CF0DCC">
        <w:rPr>
          <w:rFonts w:ascii="Garamond" w:hAnsi="Garamond"/>
        </w:rPr>
        <w:t xml:space="preserve"> several times.</w:t>
      </w:r>
    </w:p>
    <w:p w:rsidR="00596DEA" w:rsidRPr="00CF0DCC" w:rsidRDefault="00596DEA" w:rsidP="00CF0DCC">
      <w:pPr>
        <w:spacing w:after="120" w:line="360" w:lineRule="auto"/>
        <w:jc w:val="both"/>
        <w:rPr>
          <w:rFonts w:ascii="Garamond" w:hAnsi="Garamond"/>
        </w:rPr>
      </w:pPr>
      <w:r w:rsidRPr="00CF0DCC">
        <w:rPr>
          <w:rFonts w:ascii="Garamond" w:hAnsi="Garamond"/>
        </w:rPr>
        <w:t xml:space="preserve">A long, drawn-out process of quiet diplomatic activity to get UN boots on the ground in Darfur eventually led to the compromise of UNAMID: a hybrid AU-UN mission to be deployed under UN command, but with a principally African character </w:t>
      </w:r>
      <w:r w:rsidRPr="00CF0DCC">
        <w:rPr>
          <w:rFonts w:ascii="Garamond" w:hAnsi="Garamond"/>
        </w:rPr>
        <w:fldChar w:fldCharType="begin"/>
      </w:r>
      <w:r w:rsidR="00431336" w:rsidRPr="00CF0DCC">
        <w:rPr>
          <w:rFonts w:ascii="Garamond" w:hAnsi="Garamond"/>
        </w:rPr>
        <w:instrText xml:space="preserve"> ADDIN EN.CITE &lt;EndNote&gt;&lt;Cite&gt;&lt;Author&gt;De Waal&lt;/Author&gt;&lt;Year&gt;2013&lt;/Year&gt;&lt;RecNum&gt;1077&lt;/RecNum&gt;&lt;Pages&gt;293&lt;/Pages&gt;&lt;DisplayText&gt;(De Waal, 2013: 293; Duursma, 2017)&lt;/DisplayText&gt;&lt;record&gt;&lt;rec-number&gt;1077&lt;/rec-number&gt;&lt;foreign-keys&gt;&lt;key app="EN" db-id="swpt0zpavdd5ayez9sqp5ss32d9dxxwzdwsp" timestamp="1423401176"&gt;1077&lt;/key&gt;&lt;/foreign-keys&gt;&lt;ref-type name="Book Section"&gt;5&lt;/ref-type&gt;&lt;contributors&gt;&lt;authors&gt;&lt;author&gt;De Waal, A.&lt;/author&gt;&lt;/authors&gt;&lt;secondary-authors&gt;&lt;author&gt;Boulden, J.&lt;/author&gt;&lt;/secondary-authors&gt;&lt;/contributors&gt;&lt;titles&gt;&lt;title&gt;Sudan: Darfur&lt;/title&gt;&lt;secondary-title&gt;Responding to Conflict in Africa: The United Nations and Regional Organizations&lt;/secondary-title&gt;&lt;/titles&gt;&lt;dates&gt;&lt;year&gt;2013&lt;/year&gt;&lt;/dates&gt;&lt;pub-location&gt;New York&lt;/pub-location&gt;&lt;publisher&gt;Palgrave Macmillan&lt;/publisher&gt;&lt;isbn&gt;9781137367570&lt;/isbn&gt;&lt;urls&gt;&lt;related-urls&gt;&lt;url&gt;http://books.google.nl/books?id=sos27YBp1CcC&lt;/url&gt;&lt;/related-urls&gt;&lt;/urls&gt;&lt;/record&gt;&lt;/Cite&gt;&lt;Cite&gt;&lt;Author&gt;Duursma&lt;/Author&gt;&lt;Year&gt;2017&lt;/Year&gt;&lt;RecNum&gt;1933&lt;/RecNum&gt;&lt;record&gt;&lt;rec-number&gt;1933&lt;/rec-number&gt;&lt;foreign-keys&gt;&lt;key app="EN" db-id="swpt0zpavdd5ayez9sqp5ss32d9dxxwzdwsp" timestamp="1504318800"&gt;1933&lt;/key&gt;&lt;/foreign-keys&gt;&lt;ref-type name="Journal Article"&gt;17&lt;/ref-type&gt;&lt;contributors&gt;&lt;authors&gt;&lt;author&gt;Duursma, Allard&lt;/author&gt;&lt;/authors&gt;&lt;/contributors&gt;&lt;titles&gt;&lt;title&gt;When to Get Out of the Trench: Using Smart Pressure to Resolve Civil Wars&lt;/title&gt;&lt;secondary-title&gt;Civil Wars&lt;/secondary-title&gt;&lt;/titles&gt;&lt;periodical&gt;&lt;full-title&gt;Civil Wars&lt;/full-title&gt;&lt;/periodical&gt;&lt;pages&gt;43-61&lt;/pages&gt;&lt;volume&gt;17&lt;/volume&gt;&lt;number&gt;1&lt;/number&gt;&lt;dates&gt;&lt;year&gt;2017&lt;/year&gt;&lt;/dates&gt;&lt;urls&gt;&lt;/urls&gt;&lt;/record&gt;&lt;/Cite&gt;&lt;/EndNote&gt;</w:instrText>
      </w:r>
      <w:r w:rsidRPr="00CF0DCC">
        <w:rPr>
          <w:rFonts w:ascii="Garamond" w:hAnsi="Garamond"/>
        </w:rPr>
        <w:fldChar w:fldCharType="separate"/>
      </w:r>
      <w:r w:rsidR="00431336" w:rsidRPr="00CF0DCC">
        <w:rPr>
          <w:rFonts w:ascii="Garamond" w:hAnsi="Garamond"/>
          <w:noProof/>
        </w:rPr>
        <w:t>(De Waal, 2013: 293; Duursma, 2017)</w:t>
      </w:r>
      <w:r w:rsidRPr="00CF0DCC">
        <w:rPr>
          <w:rFonts w:ascii="Garamond" w:hAnsi="Garamond"/>
        </w:rPr>
        <w:fldChar w:fldCharType="end"/>
      </w:r>
      <w:r w:rsidRPr="00CF0DCC">
        <w:rPr>
          <w:rFonts w:ascii="Garamond" w:hAnsi="Garamond"/>
        </w:rPr>
        <w:t xml:space="preserve">. UNAMID started to unfold in January 2008. </w:t>
      </w:r>
    </w:p>
    <w:p w:rsidR="003B6B03" w:rsidRDefault="00596DEA" w:rsidP="00CF0DCC">
      <w:pPr>
        <w:spacing w:after="120" w:line="360" w:lineRule="auto"/>
        <w:jc w:val="both"/>
        <w:rPr>
          <w:rFonts w:ascii="Garamond" w:hAnsi="Garamond"/>
        </w:rPr>
      </w:pPr>
      <w:r w:rsidRPr="00CF0DCC">
        <w:rPr>
          <w:rFonts w:ascii="Garamond" w:hAnsi="Garamond"/>
        </w:rPr>
        <w:t xml:space="preserve">Alex de Waal’s description of Darfur in December 2008 underlines </w:t>
      </w:r>
      <w:r w:rsidR="003B6B03">
        <w:rPr>
          <w:rFonts w:ascii="Garamond" w:hAnsi="Garamond"/>
        </w:rPr>
        <w:t>that conflict management efforts need to go beyond only clashes involving t</w:t>
      </w:r>
      <w:r w:rsidRPr="00CF0DCC">
        <w:rPr>
          <w:rFonts w:ascii="Garamond" w:hAnsi="Garamond"/>
        </w:rPr>
        <w:t xml:space="preserve">he government. He describes the </w:t>
      </w:r>
      <w:r w:rsidR="003B6B03">
        <w:rPr>
          <w:rFonts w:ascii="Garamond" w:hAnsi="Garamond"/>
        </w:rPr>
        <w:t xml:space="preserve">conflict </w:t>
      </w:r>
      <w:r w:rsidRPr="00CF0DCC">
        <w:rPr>
          <w:rFonts w:ascii="Garamond" w:hAnsi="Garamond"/>
        </w:rPr>
        <w:t xml:space="preserve">as a “low intensity conflict” in which numerous fragmented groups vie for local prominence </w:t>
      </w:r>
      <w:r w:rsidRPr="00CF0DCC">
        <w:rPr>
          <w:rFonts w:ascii="Garamond" w:hAnsi="Garamond"/>
        </w:rPr>
        <w:fldChar w:fldCharType="begin"/>
      </w:r>
      <w:r w:rsidRPr="00CF0DCC">
        <w:rPr>
          <w:rFonts w:ascii="Garamond" w:hAnsi="Garamond"/>
        </w:rPr>
        <w:instrText xml:space="preserve"> ADDIN EN.CITE &lt;EndNote&gt;&lt;Cite&gt;&lt;Author&gt;de Waal&lt;/Author&gt;&lt;Year&gt;December 2008&lt;/Year&gt;&lt;RecNum&gt;1950&lt;/RecNum&gt;&lt;DisplayText&gt;(De Waal, December 2008)&lt;/DisplayText&gt;&lt;record&gt;&lt;rec-number&gt;1950&lt;/rec-number&gt;&lt;foreign-keys&gt;&lt;key app="EN" db-id="swpt0zpavdd5ayez9sqp5ss32d9dxxwzdwsp" timestamp="1506338555"&gt;1950&lt;/key&gt;&lt;/foreign-keys&gt;&lt;ref-type name="Journal Article"&gt;17&lt;/ref-type&gt;&lt;contributors&gt;&lt;authors&gt;&lt;author&gt;De Waal, A.&lt;/author&gt;&lt;/authors&gt;&lt;/contributors&gt;&lt;titles&gt;&lt;title&gt;Memorandum: Prospects for Durable Peace in Sudan&lt;/title&gt;&lt;/titles&gt;&lt;dates&gt;&lt;year&gt;December 2008&lt;/year&gt;&lt;/dates&gt;&lt;urls&gt;&lt;/urls&gt;&lt;/record&gt;&lt;/Cite&gt;&lt;/EndNote&gt;</w:instrText>
      </w:r>
      <w:r w:rsidRPr="00CF0DCC">
        <w:rPr>
          <w:rFonts w:ascii="Garamond" w:hAnsi="Garamond"/>
        </w:rPr>
        <w:fldChar w:fldCharType="separate"/>
      </w:r>
      <w:r w:rsidRPr="00CF0DCC">
        <w:rPr>
          <w:rFonts w:ascii="Garamond" w:hAnsi="Garamond"/>
          <w:noProof/>
        </w:rPr>
        <w:t>(De Waal, December 2008)</w:t>
      </w:r>
      <w:r w:rsidRPr="00CF0DCC">
        <w:rPr>
          <w:rFonts w:ascii="Garamond" w:hAnsi="Garamond"/>
        </w:rPr>
        <w:fldChar w:fldCharType="end"/>
      </w:r>
      <w:r w:rsidRPr="00CF0DCC">
        <w:rPr>
          <w:rFonts w:ascii="Garamond" w:hAnsi="Garamond"/>
        </w:rPr>
        <w:t xml:space="preserve">. Indeed, the JMAC data records 199 armed clashes, between conflict parties of which the identities </w:t>
      </w:r>
      <w:proofErr w:type="gramStart"/>
      <w:r w:rsidRPr="00CF0DCC">
        <w:rPr>
          <w:rFonts w:ascii="Garamond" w:hAnsi="Garamond"/>
        </w:rPr>
        <w:t>could be established</w:t>
      </w:r>
      <w:proofErr w:type="gramEnd"/>
      <w:r w:rsidRPr="00CF0DCC">
        <w:rPr>
          <w:rFonts w:ascii="Garamond" w:hAnsi="Garamond"/>
        </w:rPr>
        <w:t xml:space="preserve">, in Darfur between January 2008 and August 2009. Figure </w:t>
      </w:r>
      <w:r w:rsidR="003B6B03">
        <w:rPr>
          <w:rFonts w:ascii="Garamond" w:hAnsi="Garamond"/>
        </w:rPr>
        <w:t>A-I</w:t>
      </w:r>
      <w:r w:rsidRPr="00CF0DCC">
        <w:rPr>
          <w:rFonts w:ascii="Garamond" w:hAnsi="Garamond"/>
        </w:rPr>
        <w:t xml:space="preserve"> shows the relative frequency of armed clashes between different types of pairs of armed actors. </w:t>
      </w:r>
    </w:p>
    <w:p w:rsidR="003B6B03" w:rsidRDefault="003B6B03" w:rsidP="00CF0DCC">
      <w:pPr>
        <w:spacing w:after="120" w:line="360" w:lineRule="auto"/>
        <w:jc w:val="both"/>
        <w:rPr>
          <w:rFonts w:ascii="Garamond" w:hAnsi="Garamond"/>
        </w:rPr>
      </w:pPr>
    </w:p>
    <w:p w:rsidR="00596DEA" w:rsidRPr="00CF0DCC" w:rsidRDefault="00596DEA" w:rsidP="00CF0DCC">
      <w:pPr>
        <w:spacing w:after="120" w:line="360" w:lineRule="auto"/>
        <w:jc w:val="both"/>
        <w:rPr>
          <w:rFonts w:ascii="Garamond" w:hAnsi="Garamond"/>
          <w:i/>
          <w:iCs/>
        </w:rPr>
      </w:pPr>
      <w:r w:rsidRPr="00CF0DCC">
        <w:rPr>
          <w:rFonts w:ascii="Garamond" w:hAnsi="Garamond"/>
          <w:i/>
          <w:iCs/>
        </w:rPr>
        <w:t xml:space="preserve">Figure </w:t>
      </w:r>
      <w:proofErr w:type="gramStart"/>
      <w:r w:rsidR="00CF0DCC">
        <w:rPr>
          <w:rFonts w:ascii="Garamond" w:hAnsi="Garamond"/>
          <w:i/>
          <w:iCs/>
        </w:rPr>
        <w:t>A</w:t>
      </w:r>
      <w:r w:rsidR="003B6B03">
        <w:rPr>
          <w:rFonts w:ascii="Garamond" w:hAnsi="Garamond"/>
          <w:i/>
          <w:iCs/>
        </w:rPr>
        <w:t>-</w:t>
      </w:r>
      <w:proofErr w:type="gramEnd"/>
      <w:r w:rsidR="003B6B03">
        <w:rPr>
          <w:rFonts w:ascii="Garamond" w:hAnsi="Garamond"/>
          <w:i/>
          <w:iCs/>
        </w:rPr>
        <w:t>I</w:t>
      </w:r>
      <w:r w:rsidR="00B97EB4">
        <w:rPr>
          <w:rFonts w:ascii="Garamond" w:hAnsi="Garamond"/>
          <w:i/>
          <w:iCs/>
        </w:rPr>
        <w:t>.</w:t>
      </w:r>
      <w:r w:rsidRPr="00CF0DCC">
        <w:rPr>
          <w:rFonts w:ascii="Garamond" w:hAnsi="Garamond"/>
          <w:i/>
          <w:iCs/>
        </w:rPr>
        <w:t xml:space="preserve"> Distribution of different types of armed clashes in Darfur, January 2008 and August 2009</w:t>
      </w:r>
    </w:p>
    <w:p w:rsidR="00596DEA" w:rsidRPr="00CF0DCC" w:rsidRDefault="00596DEA" w:rsidP="00CF0DCC">
      <w:pPr>
        <w:spacing w:after="120" w:line="360" w:lineRule="auto"/>
        <w:jc w:val="both"/>
        <w:rPr>
          <w:rFonts w:ascii="Garamond" w:hAnsi="Garamond"/>
        </w:rPr>
      </w:pPr>
      <w:r w:rsidRPr="00CF0DCC">
        <w:rPr>
          <w:rFonts w:ascii="Garamond" w:hAnsi="Garamond"/>
          <w:noProof/>
          <w:lang w:val="de-CH" w:eastAsia="de-CH"/>
        </w:rPr>
        <w:drawing>
          <wp:inline distT="0" distB="0" distL="0" distR="0" wp14:anchorId="4E8F7053" wp14:editId="6FD4EFCC">
            <wp:extent cx="4826000" cy="2647950"/>
            <wp:effectExtent l="0" t="0" r="12700" b="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B6B03" w:rsidRPr="00CF0DCC" w:rsidRDefault="003B6B03" w:rsidP="003B6B03">
      <w:pPr>
        <w:spacing w:after="120" w:line="360" w:lineRule="auto"/>
        <w:jc w:val="both"/>
        <w:rPr>
          <w:rFonts w:ascii="Garamond" w:hAnsi="Garamond"/>
        </w:rPr>
      </w:pPr>
      <w:r w:rsidRPr="00CF0DCC">
        <w:rPr>
          <w:rFonts w:ascii="Garamond" w:hAnsi="Garamond"/>
        </w:rPr>
        <w:t xml:space="preserve">Around 21 percent of the armed clashes involved tribal militias fighting rival tribal militias. A great deal of fighting took place between Arab tribes and Arab militias, which was a type of violence particularly prevalent between 2007 and 2009 in Darfur </w:t>
      </w:r>
      <w:r w:rsidRPr="00CF0DCC">
        <w:rPr>
          <w:rFonts w:ascii="Garamond" w:hAnsi="Garamond"/>
        </w:rPr>
        <w:fldChar w:fldCharType="begin"/>
      </w:r>
      <w:r w:rsidRPr="00CF0DCC">
        <w:rPr>
          <w:rFonts w:ascii="Garamond" w:hAnsi="Garamond"/>
        </w:rPr>
        <w:instrText xml:space="preserve"> ADDIN EN.CITE &lt;EndNote&gt;&lt;Cite&gt;&lt;Author&gt;de Waal&lt;/Author&gt;&lt;Year&gt;2015&lt;/Year&gt;&lt;RecNum&gt;1339&lt;/RecNum&gt;&lt;Pages&gt;58&lt;/Pages&gt;&lt;DisplayText&gt;(De Waal, 2015: 58; Flint, 2010)&lt;/DisplayText&gt;&lt;record&gt;&lt;rec-number&gt;1339&lt;/rec-number&gt;&lt;foreign-keys&gt;&lt;key app="EN" db-id="swpt0zpavdd5ayez9sqp5ss32d9dxxwzdwsp" timestamp="1456736662"&gt;1339&lt;/key&gt;&lt;/foreign-keys&gt;&lt;ref-type name="Book"&gt;6&lt;/ref-type&gt;&lt;contributors&gt;&lt;authors&gt;&lt;author&gt;De Waal, A.&lt;/author&gt;&lt;/authors&gt;&lt;/contributors&gt;&lt;titles&gt;&lt;title&gt;The Real Politics of the Horn of Africa: Money, War and the Business of Power&lt;/title&gt;&lt;/titles&gt;&lt;dates&gt;&lt;year&gt;2015&lt;/year&gt;&lt;/dates&gt;&lt;pub-location&gt;Cambridge&lt;/pub-location&gt;&lt;publisher&gt;Polity&lt;/publisher&gt;&lt;isbn&gt;9780745695617&lt;/isbn&gt;&lt;urls&gt;&lt;related-urls&gt;&lt;url&gt;https://books.google.co.uk/books?id=yxbICgAAQBAJ&lt;/url&gt;&lt;/related-urls&gt;&lt;/urls&gt;&lt;/record&gt;&lt;/Cite&gt;&lt;Cite&gt;&lt;Author&gt;Flint&lt;/Author&gt;&lt;Year&gt;2010&lt;/Year&gt;&lt;RecNum&gt;1956&lt;/RecNum&gt;&lt;record&gt;&lt;rec-number&gt;1956&lt;/rec-number&gt;&lt;foreign-keys&gt;&lt;key app="EN" db-id="swpt0zpavdd5ayez9sqp5ss32d9dxxwzdwsp" timestamp="1508243665"&gt;1956&lt;/key&gt;&lt;/foreign-keys&gt;&lt;ref-type name="Book"&gt;6&lt;/ref-type&gt;&lt;contributors&gt;&lt;authors&gt;&lt;author&gt; Flint, J.&lt;/author&gt;&lt;/authors&gt;&lt;/contributors&gt;&lt;titles&gt;&lt;title&gt;The other War: Inter-Arab Conflict in Darfur. Sudan Woking Paper, no. 22&lt;/title&gt;&lt;/titles&gt;&lt;dates&gt;&lt;year&gt;2010&lt;/year&gt;&lt;/dates&gt;&lt;pub-location&gt;Geneva&lt;/pub-location&gt;&lt;publisher&gt;Small Arms Survey&lt;/publisher&gt;&lt;urls&gt;&lt;/urls&gt;&lt;/record&gt;&lt;/Cite&gt;&lt;/EndNote&gt;</w:instrText>
      </w:r>
      <w:r w:rsidRPr="00CF0DCC">
        <w:rPr>
          <w:rFonts w:ascii="Garamond" w:hAnsi="Garamond"/>
        </w:rPr>
        <w:fldChar w:fldCharType="separate"/>
      </w:r>
      <w:r w:rsidRPr="00CF0DCC">
        <w:rPr>
          <w:rFonts w:ascii="Garamond" w:hAnsi="Garamond"/>
          <w:noProof/>
        </w:rPr>
        <w:t>(De Waal, 2015: 58; Flint, 2010)</w:t>
      </w:r>
      <w:r w:rsidRPr="00CF0DCC">
        <w:rPr>
          <w:rFonts w:ascii="Garamond" w:hAnsi="Garamond"/>
        </w:rPr>
        <w:fldChar w:fldCharType="end"/>
      </w:r>
      <w:r w:rsidRPr="00CF0DCC">
        <w:rPr>
          <w:rFonts w:ascii="Garamond" w:hAnsi="Garamond"/>
        </w:rPr>
        <w:t xml:space="preserve">. Militias </w:t>
      </w:r>
      <w:r w:rsidRPr="00CF0DCC">
        <w:rPr>
          <w:rFonts w:ascii="Garamond" w:hAnsi="Garamond"/>
        </w:rPr>
        <w:lastRenderedPageBreak/>
        <w:t xml:space="preserve">have also been involved in armed clashes with rebel movements and government forces. The JMAC data also clearly shows how the relatively high degree of intra-rebel fighting in Darfur </w:t>
      </w:r>
      <w:r w:rsidRPr="00CF0DCC">
        <w:rPr>
          <w:rFonts w:ascii="Garamond" w:hAnsi="Garamond"/>
        </w:rPr>
        <w:fldChar w:fldCharType="begin"/>
      </w:r>
      <w:r w:rsidRPr="00CF0DCC">
        <w:rPr>
          <w:rFonts w:ascii="Garamond" w:hAnsi="Garamond"/>
        </w:rPr>
        <w:instrText xml:space="preserve"> ADDIN EN.CITE &lt;EndNote&gt;&lt;Cite&gt;&lt;Author&gt;Tanner&lt;/Author&gt;&lt;Year&gt;2007&lt;/Year&gt;&lt;RecNum&gt;1131&lt;/RecNum&gt;&lt;Prefix&gt;on intra-rebel fighting in Darfur`, see: &lt;/Prefix&gt;&lt;DisplayText&gt;(on intra-rebel fighting in Darfur, see: Tanner and Tubiana, 2007)&lt;/DisplayText&gt;&lt;record&gt;&lt;rec-number&gt;1131&lt;/rec-number&gt;&lt;foreign-keys&gt;&lt;key app="EN" db-id="swpt0zpavdd5ayez9sqp5ss32d9dxxwzdwsp" timestamp="1429697669"&gt;1131&lt;/key&gt;&lt;/foreign-keys&gt;&lt;ref-type name="Book"&gt;6&lt;/ref-type&gt;&lt;contributors&gt;&lt;authors&gt;&lt;author&gt;Tanner, V.&lt;/author&gt;&lt;author&gt;Tubiana, J.&lt;/author&gt;&lt;/authors&gt;&lt;/contributors&gt;&lt;titles&gt;&lt;title&gt;Divided They Fall: The Fragmentation of Darfur’s Rebel Groups. HSBA Working Paper No. 6&lt;/title&gt;&lt;/titles&gt;&lt;dates&gt;&lt;year&gt;2007&lt;/year&gt;&lt;/dates&gt;&lt;pub-location&gt;Geneva&lt;/pub-location&gt;&lt;publisher&gt;The Small Arms Survey&lt;/publisher&gt;&lt;urls&gt;&lt;/urls&gt;&lt;/record&gt;&lt;/Cite&gt;&lt;/EndNote&gt;</w:instrText>
      </w:r>
      <w:r w:rsidRPr="00CF0DCC">
        <w:rPr>
          <w:rFonts w:ascii="Garamond" w:hAnsi="Garamond"/>
        </w:rPr>
        <w:fldChar w:fldCharType="separate"/>
      </w:r>
      <w:r w:rsidRPr="00CF0DCC">
        <w:rPr>
          <w:rFonts w:ascii="Garamond" w:hAnsi="Garamond"/>
        </w:rPr>
        <w:t xml:space="preserve">(on intra-rebel fighting in Darfur, see: Tanner and </w:t>
      </w:r>
      <w:proofErr w:type="spellStart"/>
      <w:r w:rsidRPr="00CF0DCC">
        <w:rPr>
          <w:rFonts w:ascii="Garamond" w:hAnsi="Garamond"/>
        </w:rPr>
        <w:t>Tubiana</w:t>
      </w:r>
      <w:proofErr w:type="spellEnd"/>
      <w:r w:rsidRPr="00CF0DCC">
        <w:rPr>
          <w:rFonts w:ascii="Garamond" w:hAnsi="Garamond"/>
        </w:rPr>
        <w:t>, 2007)</w:t>
      </w:r>
      <w:r w:rsidRPr="00CF0DCC">
        <w:rPr>
          <w:rFonts w:ascii="Garamond" w:hAnsi="Garamond"/>
        </w:rPr>
        <w:fldChar w:fldCharType="end"/>
      </w:r>
      <w:r w:rsidRPr="00CF0DCC">
        <w:rPr>
          <w:rFonts w:ascii="Garamond" w:hAnsi="Garamond"/>
        </w:rPr>
        <w:t xml:space="preserve">. Strikingly, various armed actors within Sudan’s government apparatus have clashed on 19 occasions between January 2008 and August 2009. The JMAC data includes observations on clashes between the Central Reserve Force and the Border Police, but also between the National Intelligence and Security Service (NISS) and the Sudanese Armed Forces (SAF). </w:t>
      </w:r>
    </w:p>
    <w:p w:rsidR="00596DEA" w:rsidRDefault="00596DEA" w:rsidP="00CF0DCC">
      <w:pPr>
        <w:spacing w:after="120" w:line="360" w:lineRule="auto"/>
        <w:jc w:val="both"/>
        <w:rPr>
          <w:rFonts w:ascii="Garamond" w:hAnsi="Garamond"/>
        </w:rPr>
      </w:pPr>
      <w:r w:rsidRPr="00CF0DCC">
        <w:rPr>
          <w:rFonts w:ascii="Garamond" w:hAnsi="Garamond"/>
        </w:rPr>
        <w:t xml:space="preserve">Table </w:t>
      </w:r>
      <w:r w:rsidR="003B6B03">
        <w:rPr>
          <w:rFonts w:ascii="Garamond" w:hAnsi="Garamond"/>
        </w:rPr>
        <w:t>A-I</w:t>
      </w:r>
      <w:r w:rsidRPr="00CF0DCC">
        <w:rPr>
          <w:rFonts w:ascii="Garamond" w:hAnsi="Garamond"/>
        </w:rPr>
        <w:t xml:space="preserve"> disaggregates each </w:t>
      </w:r>
      <w:r w:rsidRPr="00CF0DCC">
        <w:rPr>
          <w:rFonts w:ascii="Garamond" w:hAnsi="Garamond"/>
          <w:i/>
          <w:iCs/>
        </w:rPr>
        <w:t>type</w:t>
      </w:r>
      <w:r w:rsidRPr="00CF0DCC">
        <w:rPr>
          <w:rFonts w:ascii="Garamond" w:hAnsi="Garamond"/>
        </w:rPr>
        <w:t xml:space="preserve"> of armed actor into the various armed actors that are identified in the JMAC data as being involved in armed clashes in Darfur between January 2008 and August 2009. In total, 43 different armed actors have been involved in armed clashes. </w:t>
      </w:r>
    </w:p>
    <w:p w:rsidR="003B6B03" w:rsidRPr="00CF0DCC" w:rsidRDefault="003B6B03" w:rsidP="00CF0DCC">
      <w:pPr>
        <w:spacing w:after="120" w:line="360" w:lineRule="auto"/>
        <w:jc w:val="both"/>
        <w:rPr>
          <w:rFonts w:ascii="Garamond" w:hAnsi="Garamond"/>
        </w:rPr>
      </w:pPr>
    </w:p>
    <w:p w:rsidR="00596DEA" w:rsidRPr="00CF0DCC" w:rsidRDefault="00596DEA" w:rsidP="003B6B03">
      <w:pPr>
        <w:jc w:val="both"/>
        <w:rPr>
          <w:rFonts w:ascii="Garamond" w:hAnsi="Garamond"/>
          <w:i/>
          <w:iCs/>
        </w:rPr>
      </w:pPr>
      <w:r w:rsidRPr="00CF0DCC">
        <w:rPr>
          <w:rFonts w:ascii="Garamond" w:hAnsi="Garamond"/>
          <w:i/>
          <w:iCs/>
        </w:rPr>
        <w:t xml:space="preserve">Table </w:t>
      </w:r>
      <w:proofErr w:type="gramStart"/>
      <w:r w:rsidR="00CF0DCC">
        <w:rPr>
          <w:rFonts w:ascii="Garamond" w:hAnsi="Garamond"/>
          <w:i/>
          <w:iCs/>
        </w:rPr>
        <w:t>A</w:t>
      </w:r>
      <w:r w:rsidR="003B6B03">
        <w:rPr>
          <w:rFonts w:ascii="Garamond" w:hAnsi="Garamond"/>
          <w:i/>
          <w:iCs/>
        </w:rPr>
        <w:t>-</w:t>
      </w:r>
      <w:proofErr w:type="gramEnd"/>
      <w:r w:rsidR="003B6B03">
        <w:rPr>
          <w:rFonts w:ascii="Garamond" w:hAnsi="Garamond"/>
          <w:i/>
          <w:iCs/>
        </w:rPr>
        <w:t>I</w:t>
      </w:r>
      <w:r w:rsidR="00B97EB4">
        <w:rPr>
          <w:rFonts w:ascii="Garamond" w:hAnsi="Garamond"/>
          <w:i/>
          <w:iCs/>
        </w:rPr>
        <w:t>.</w:t>
      </w:r>
      <w:r w:rsidRPr="00CF0DCC">
        <w:rPr>
          <w:rFonts w:ascii="Garamond" w:hAnsi="Garamond"/>
          <w:i/>
          <w:iCs/>
        </w:rPr>
        <w:t xml:space="preserve"> Armed actors involved in armed fighting in Darfur, January 2008 and August 2009</w:t>
      </w:r>
    </w:p>
    <w:tbl>
      <w:tblPr>
        <w:tblW w:w="9493" w:type="dxa"/>
        <w:tblLook w:val="04A0" w:firstRow="1" w:lastRow="0" w:firstColumn="1" w:lastColumn="0" w:noHBand="0" w:noVBand="1"/>
      </w:tblPr>
      <w:tblGrid>
        <w:gridCol w:w="6232"/>
        <w:gridCol w:w="3261"/>
      </w:tblGrid>
      <w:tr w:rsidR="00596DEA" w:rsidRPr="00CF0DCC" w:rsidTr="008C32D1">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DEA" w:rsidRPr="00CF0DCC" w:rsidRDefault="00596DEA" w:rsidP="003B6B03">
            <w:pPr>
              <w:rPr>
                <w:rFonts w:ascii="Garamond" w:hAnsi="Garamond"/>
                <w:b/>
                <w:bCs/>
                <w:color w:val="000000"/>
              </w:rPr>
            </w:pPr>
            <w:r w:rsidRPr="00CF0DCC">
              <w:rPr>
                <w:rFonts w:ascii="Garamond" w:hAnsi="Garamond"/>
                <w:b/>
                <w:bCs/>
                <w:color w:val="000000"/>
              </w:rPr>
              <w:t>Government</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DEA" w:rsidRPr="00CF0DCC" w:rsidRDefault="00596DEA" w:rsidP="003B6B03">
            <w:pPr>
              <w:rPr>
                <w:rFonts w:ascii="Garamond" w:hAnsi="Garamond"/>
                <w:b/>
                <w:bCs/>
                <w:color w:val="000000"/>
              </w:rPr>
            </w:pPr>
            <w:r w:rsidRPr="00CF0DCC">
              <w:rPr>
                <w:rFonts w:ascii="Garamond" w:hAnsi="Garamond"/>
                <w:b/>
                <w:bCs/>
                <w:color w:val="000000"/>
              </w:rPr>
              <w:t>Militias / Tribes</w:t>
            </w:r>
          </w:p>
        </w:tc>
      </w:tr>
      <w:tr w:rsidR="00596DEA" w:rsidRPr="00CF0DCC" w:rsidTr="008C32D1">
        <w:trPr>
          <w:trHeight w:val="300"/>
        </w:trPr>
        <w:tc>
          <w:tcPr>
            <w:tcW w:w="6232" w:type="dxa"/>
            <w:tcBorders>
              <w:top w:val="single" w:sz="4" w:space="0" w:color="auto"/>
              <w:left w:val="single" w:sz="4" w:space="0" w:color="auto"/>
              <w:bottom w:val="nil"/>
              <w:right w:val="single" w:sz="4" w:space="0" w:color="auto"/>
            </w:tcBorders>
            <w:shd w:val="clear" w:color="auto" w:fill="auto"/>
            <w:noWrap/>
            <w:vAlign w:val="bottom"/>
            <w:hideMark/>
          </w:tcPr>
          <w:p w:rsidR="00596DEA" w:rsidRPr="00CF0DCC" w:rsidRDefault="00596DEA" w:rsidP="003B6B03">
            <w:pPr>
              <w:rPr>
                <w:rFonts w:ascii="Garamond" w:hAnsi="Garamond"/>
                <w:color w:val="000000"/>
              </w:rPr>
            </w:pPr>
            <w:r w:rsidRPr="00CF0DCC">
              <w:rPr>
                <w:rFonts w:ascii="Garamond" w:hAnsi="Garamond"/>
                <w:color w:val="000000"/>
              </w:rPr>
              <w:t>Border Guard</w:t>
            </w:r>
          </w:p>
        </w:tc>
        <w:tc>
          <w:tcPr>
            <w:tcW w:w="3261" w:type="dxa"/>
            <w:tcBorders>
              <w:top w:val="single" w:sz="4" w:space="0" w:color="auto"/>
              <w:left w:val="single" w:sz="4" w:space="0" w:color="auto"/>
              <w:bottom w:val="nil"/>
              <w:right w:val="single" w:sz="4" w:space="0" w:color="auto"/>
            </w:tcBorders>
            <w:shd w:val="clear" w:color="auto" w:fill="auto"/>
            <w:noWrap/>
            <w:vAlign w:val="bottom"/>
            <w:hideMark/>
          </w:tcPr>
          <w:p w:rsidR="00596DEA" w:rsidRPr="00CF0DCC" w:rsidRDefault="00596DEA" w:rsidP="003B6B03">
            <w:pPr>
              <w:rPr>
                <w:rFonts w:ascii="Garamond" w:hAnsi="Garamond"/>
                <w:color w:val="000000"/>
              </w:rPr>
            </w:pPr>
            <w:r w:rsidRPr="00CF0DCC">
              <w:rPr>
                <w:rFonts w:ascii="Garamond" w:hAnsi="Garamond"/>
                <w:color w:val="000000"/>
              </w:rPr>
              <w:t>Arab militia (Janjaweed)</w:t>
            </w: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r w:rsidRPr="00CF0DCC">
              <w:rPr>
                <w:rFonts w:ascii="Garamond" w:hAnsi="Garamond"/>
              </w:rPr>
              <w:t>Border Police</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proofErr w:type="spellStart"/>
            <w:r w:rsidRPr="00CF0DCC">
              <w:rPr>
                <w:rFonts w:ascii="Garamond" w:hAnsi="Garamond"/>
              </w:rPr>
              <w:t>Awlad</w:t>
            </w:r>
            <w:proofErr w:type="spellEnd"/>
            <w:r w:rsidRPr="00CF0DCC">
              <w:rPr>
                <w:rFonts w:ascii="Garamond" w:hAnsi="Garamond"/>
              </w:rPr>
              <w:t xml:space="preserve"> </w:t>
            </w:r>
            <w:proofErr w:type="spellStart"/>
            <w:r w:rsidRPr="00CF0DCC">
              <w:rPr>
                <w:rFonts w:ascii="Garamond" w:hAnsi="Garamond"/>
              </w:rPr>
              <w:t>Tako</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r w:rsidRPr="00CF0DCC">
              <w:rPr>
                <w:rFonts w:ascii="Garamond" w:hAnsi="Garamond"/>
                <w:color w:val="000000"/>
              </w:rPr>
              <w:t>Central Reserve Police (CRP)</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proofErr w:type="spellStart"/>
            <w:r w:rsidRPr="00CF0DCC">
              <w:rPr>
                <w:rFonts w:ascii="Garamond" w:hAnsi="Garamond"/>
              </w:rPr>
              <w:t>Beni</w:t>
            </w:r>
            <w:proofErr w:type="spellEnd"/>
            <w:r w:rsidRPr="00CF0DCC">
              <w:rPr>
                <w:rFonts w:ascii="Garamond" w:hAnsi="Garamond"/>
              </w:rPr>
              <w:t xml:space="preserve"> </w:t>
            </w:r>
            <w:proofErr w:type="spellStart"/>
            <w:r w:rsidRPr="00CF0DCC">
              <w:rPr>
                <w:rFonts w:ascii="Garamond" w:hAnsi="Garamond"/>
              </w:rPr>
              <w:t>Halba</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National Intelligence and Security Service (NISS)</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Benni</w:t>
            </w:r>
            <w:proofErr w:type="spellEnd"/>
            <w:r w:rsidRPr="00CF0DCC">
              <w:rPr>
                <w:rFonts w:ascii="Garamond" w:hAnsi="Garamond"/>
                <w:color w:val="000000"/>
              </w:rPr>
              <w:t xml:space="preserve"> Hussein</w:t>
            </w: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 xml:space="preserve">Popular </w:t>
            </w:r>
            <w:proofErr w:type="spellStart"/>
            <w:r w:rsidRPr="00CF0DCC">
              <w:rPr>
                <w:rFonts w:ascii="Garamond" w:hAnsi="Garamond"/>
                <w:color w:val="000000"/>
              </w:rPr>
              <w:t>Defense</w:t>
            </w:r>
            <w:proofErr w:type="spellEnd"/>
            <w:r w:rsidRPr="00CF0DCC">
              <w:rPr>
                <w:rFonts w:ascii="Garamond" w:hAnsi="Garamond"/>
                <w:color w:val="000000"/>
              </w:rPr>
              <w:t xml:space="preserve"> Forces (PDF)</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Birgid</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Police</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r w:rsidRPr="00CF0DCC">
              <w:rPr>
                <w:rFonts w:ascii="Garamond" w:hAnsi="Garamond"/>
              </w:rPr>
              <w:t xml:space="preserve">El </w:t>
            </w:r>
            <w:proofErr w:type="spellStart"/>
            <w:r w:rsidRPr="00CF0DCC">
              <w:rPr>
                <w:rFonts w:ascii="Garamond" w:hAnsi="Garamond"/>
              </w:rPr>
              <w:t>Mahari</w:t>
            </w:r>
            <w:proofErr w:type="spellEnd"/>
          </w:p>
        </w:tc>
      </w:tr>
      <w:tr w:rsidR="00596DEA" w:rsidRPr="00CF0DCC" w:rsidTr="008C32D1">
        <w:trPr>
          <w:trHeight w:val="300"/>
        </w:trPr>
        <w:tc>
          <w:tcPr>
            <w:tcW w:w="6232" w:type="dxa"/>
            <w:tcBorders>
              <w:top w:val="nil"/>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Sudanese Armed Forces (SAF)</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Fallata</w:t>
            </w:r>
            <w:proofErr w:type="spellEnd"/>
          </w:p>
        </w:tc>
      </w:tr>
      <w:tr w:rsidR="00596DEA" w:rsidRPr="00CF0DCC" w:rsidTr="008C32D1">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Gimir</w:t>
            </w:r>
            <w:proofErr w:type="spellEnd"/>
          </w:p>
        </w:tc>
      </w:tr>
      <w:tr w:rsidR="00596DEA" w:rsidRPr="00CF0DCC" w:rsidTr="008C32D1">
        <w:trPr>
          <w:trHeight w:val="30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6DEA" w:rsidRPr="00CF0DCC" w:rsidRDefault="00596DEA" w:rsidP="00CF0DCC">
            <w:pPr>
              <w:rPr>
                <w:rFonts w:ascii="Garamond" w:hAnsi="Garamond"/>
                <w:b/>
                <w:bCs/>
                <w:color w:val="000000"/>
              </w:rPr>
            </w:pPr>
            <w:r w:rsidRPr="00CF0DCC">
              <w:rPr>
                <w:rFonts w:ascii="Garamond" w:hAnsi="Garamond"/>
                <w:b/>
                <w:bCs/>
                <w:color w:val="000000"/>
              </w:rPr>
              <w:t>Rebel Groups</w:t>
            </w:r>
          </w:p>
        </w:tc>
        <w:tc>
          <w:tcPr>
            <w:tcW w:w="3261" w:type="dxa"/>
            <w:tcBorders>
              <w:top w:val="nil"/>
              <w:left w:val="single" w:sz="4" w:space="0" w:color="auto"/>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Habaniya</w:t>
            </w:r>
            <w:proofErr w:type="spellEnd"/>
          </w:p>
        </w:tc>
      </w:tr>
      <w:tr w:rsidR="00596DEA" w:rsidRPr="00CF0DCC" w:rsidTr="008C32D1">
        <w:trPr>
          <w:trHeight w:val="300"/>
        </w:trPr>
        <w:tc>
          <w:tcPr>
            <w:tcW w:w="6232" w:type="dxa"/>
            <w:tcBorders>
              <w:top w:val="single" w:sz="4" w:space="0" w:color="auto"/>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rPr>
            </w:pPr>
            <w:r w:rsidRPr="00CF0DCC">
              <w:rPr>
                <w:rFonts w:ascii="Garamond" w:hAnsi="Garamond"/>
              </w:rPr>
              <w:t>Darfur Sons</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Ma’aliya</w:t>
            </w:r>
            <w:proofErr w:type="spellEnd"/>
          </w:p>
        </w:tc>
      </w:tr>
      <w:tr w:rsidR="00596DEA" w:rsidRPr="00CF0DCC" w:rsidTr="008C32D1">
        <w:trPr>
          <w:trHeight w:val="300"/>
        </w:trPr>
        <w:tc>
          <w:tcPr>
            <w:tcW w:w="6232"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Forgotten Soldiers</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proofErr w:type="spellStart"/>
            <w:r w:rsidRPr="00CF0DCC">
              <w:rPr>
                <w:rFonts w:ascii="Garamond" w:hAnsi="Garamond"/>
              </w:rPr>
              <w:t>Massalits</w:t>
            </w:r>
            <w:proofErr w:type="spellEnd"/>
          </w:p>
        </w:tc>
      </w:tr>
      <w:tr w:rsidR="00596DEA" w:rsidRPr="00CF0DCC" w:rsidTr="008C32D1">
        <w:trPr>
          <w:trHeight w:val="300"/>
        </w:trPr>
        <w:tc>
          <w:tcPr>
            <w:tcW w:w="6232" w:type="dxa"/>
            <w:tcBorders>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Justice and Equality Movement (JEM)</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Mima</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Justice and Equality Movement Collective Leadership (JEM CL)</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Misseriyah</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Justice and Equality Movement Khalil (JEM Khalil)</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color w:val="000000"/>
              </w:rPr>
              <w:t>Reizegat</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Justice and Equality Movement National Unity (JEM NU)</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color w:val="000000"/>
              </w:rPr>
            </w:pPr>
            <w:proofErr w:type="spellStart"/>
            <w:r w:rsidRPr="00CF0DCC">
              <w:rPr>
                <w:rFonts w:ascii="Garamond" w:hAnsi="Garamond"/>
              </w:rPr>
              <w:t>Salamat</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National Liberation Front (NLF)</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proofErr w:type="spellStart"/>
            <w:r w:rsidRPr="00CF0DCC">
              <w:rPr>
                <w:rFonts w:ascii="Garamond" w:hAnsi="Garamond"/>
                <w:color w:val="000000"/>
              </w:rPr>
              <w:t>Tarjam</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Mutinous SAF unit</w:t>
            </w:r>
          </w:p>
        </w:tc>
        <w:tc>
          <w:tcPr>
            <w:tcW w:w="3261" w:type="dxa"/>
            <w:tcBorders>
              <w:top w:val="nil"/>
              <w:left w:val="single" w:sz="4" w:space="0" w:color="auto"/>
              <w:bottom w:val="nil"/>
              <w:right w:val="single" w:sz="4" w:space="0" w:color="auto"/>
            </w:tcBorders>
            <w:shd w:val="clear" w:color="auto" w:fill="auto"/>
            <w:noWrap/>
            <w:vAlign w:val="bottom"/>
            <w:hideMark/>
          </w:tcPr>
          <w:p w:rsidR="00596DEA" w:rsidRPr="00CF0DCC" w:rsidRDefault="00596DEA" w:rsidP="00CF0DCC">
            <w:pPr>
              <w:rPr>
                <w:rFonts w:ascii="Garamond" w:hAnsi="Garamond"/>
              </w:rPr>
            </w:pPr>
            <w:proofErr w:type="spellStart"/>
            <w:r w:rsidRPr="00CF0DCC">
              <w:rPr>
                <w:rFonts w:ascii="Garamond" w:hAnsi="Garamond"/>
              </w:rPr>
              <w:t>Umda</w:t>
            </w:r>
            <w:proofErr w:type="spellEnd"/>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National Movement for People’s Rights &amp; Democracy (NMPRD)</w:t>
            </w:r>
          </w:p>
        </w:tc>
        <w:tc>
          <w:tcPr>
            <w:tcW w:w="3261" w:type="dxa"/>
            <w:tcBorders>
              <w:top w:val="nil"/>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rPr>
            </w:pPr>
            <w:r w:rsidRPr="00CF0DCC">
              <w:rPr>
                <w:rFonts w:ascii="Garamond" w:hAnsi="Garamond"/>
              </w:rPr>
              <w:t>Zaghawa</w:t>
            </w: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National Redemption Front (NRF)</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rPr>
            </w:pP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Oppressed Soldiers</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rPr>
            </w:pP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rPr>
            </w:pPr>
            <w:r w:rsidRPr="00CF0DCC">
              <w:rPr>
                <w:rFonts w:ascii="Garamond" w:hAnsi="Garamond"/>
              </w:rPr>
              <w:t>Sudan Liberation Army  (SLA)</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b/>
                <w:bCs/>
                <w:color w:val="000000"/>
              </w:rPr>
            </w:pPr>
          </w:p>
        </w:tc>
      </w:tr>
      <w:tr w:rsidR="00596DEA" w:rsidRPr="00CF0DCC" w:rsidTr="008C32D1">
        <w:trPr>
          <w:trHeight w:val="300"/>
        </w:trPr>
        <w:tc>
          <w:tcPr>
            <w:tcW w:w="6232" w:type="dxa"/>
            <w:tcBorders>
              <w:top w:val="nil"/>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Sudan Liberation Army Abdul Wahid (SLA AW)</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rPr>
            </w:pPr>
          </w:p>
        </w:tc>
      </w:tr>
      <w:tr w:rsidR="00596DEA" w:rsidRPr="00CF0DCC" w:rsidTr="008C32D1">
        <w:trPr>
          <w:trHeight w:val="300"/>
        </w:trPr>
        <w:tc>
          <w:tcPr>
            <w:tcW w:w="6232" w:type="dxa"/>
            <w:tcBorders>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Sudan Liberation Army  Free Will (SLA FW)</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b/>
                <w:bCs/>
                <w:color w:val="000000"/>
              </w:rPr>
            </w:pP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 xml:space="preserve">Sudan Liberation Army </w:t>
            </w:r>
            <w:proofErr w:type="spellStart"/>
            <w:r w:rsidRPr="00CF0DCC">
              <w:rPr>
                <w:rFonts w:ascii="Garamond" w:hAnsi="Garamond"/>
                <w:color w:val="000000"/>
              </w:rPr>
              <w:t>Khamis</w:t>
            </w:r>
            <w:proofErr w:type="spellEnd"/>
            <w:r w:rsidRPr="00CF0DCC">
              <w:rPr>
                <w:rFonts w:ascii="Garamond" w:hAnsi="Garamond"/>
                <w:color w:val="000000"/>
              </w:rPr>
              <w:t xml:space="preserve"> (SLA </w:t>
            </w:r>
            <w:proofErr w:type="spellStart"/>
            <w:r w:rsidRPr="00CF0DCC">
              <w:rPr>
                <w:rFonts w:ascii="Garamond" w:hAnsi="Garamond"/>
                <w:color w:val="000000"/>
              </w:rPr>
              <w:t>Khamis</w:t>
            </w:r>
            <w:proofErr w:type="spellEnd"/>
            <w:r w:rsidRPr="00CF0DCC">
              <w:rPr>
                <w:rFonts w:ascii="Garamond" w:hAnsi="Garamond"/>
                <w:color w:val="000000"/>
              </w:rPr>
              <w:t>)</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p>
        </w:tc>
      </w:tr>
      <w:tr w:rsidR="00596DEA" w:rsidRPr="00CF0DCC" w:rsidTr="008C32D1">
        <w:trPr>
          <w:trHeight w:val="300"/>
        </w:trPr>
        <w:tc>
          <w:tcPr>
            <w:tcW w:w="6232" w:type="dxa"/>
            <w:tcBorders>
              <w:top w:val="nil"/>
              <w:left w:val="single" w:sz="4" w:space="0" w:color="auto"/>
              <w:bottom w:val="nil"/>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 xml:space="preserve">Sudan Liberation Army </w:t>
            </w:r>
            <w:proofErr w:type="spellStart"/>
            <w:r w:rsidRPr="00CF0DCC">
              <w:rPr>
                <w:rFonts w:ascii="Garamond" w:hAnsi="Garamond"/>
                <w:color w:val="000000"/>
              </w:rPr>
              <w:t>Minni</w:t>
            </w:r>
            <w:proofErr w:type="spellEnd"/>
            <w:r w:rsidRPr="00CF0DCC">
              <w:rPr>
                <w:rFonts w:ascii="Garamond" w:hAnsi="Garamond"/>
                <w:color w:val="000000"/>
              </w:rPr>
              <w:t xml:space="preserve"> </w:t>
            </w:r>
            <w:proofErr w:type="spellStart"/>
            <w:r w:rsidRPr="00CF0DCC">
              <w:rPr>
                <w:rFonts w:ascii="Garamond" w:hAnsi="Garamond"/>
                <w:color w:val="000000"/>
              </w:rPr>
              <w:t>Minnawi</w:t>
            </w:r>
            <w:proofErr w:type="spellEnd"/>
            <w:r w:rsidRPr="00CF0DCC">
              <w:rPr>
                <w:rFonts w:ascii="Garamond" w:hAnsi="Garamond"/>
                <w:color w:val="000000"/>
              </w:rPr>
              <w:t xml:space="preserve"> (SLA MM)</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p>
        </w:tc>
      </w:tr>
      <w:tr w:rsidR="00596DEA" w:rsidRPr="00CF0DCC" w:rsidTr="008C32D1">
        <w:trPr>
          <w:trHeight w:val="300"/>
        </w:trPr>
        <w:tc>
          <w:tcPr>
            <w:tcW w:w="6232" w:type="dxa"/>
            <w:tcBorders>
              <w:top w:val="nil"/>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Sudan Liberation Army Unity (SLA Unity)</w:t>
            </w:r>
          </w:p>
        </w:tc>
        <w:tc>
          <w:tcPr>
            <w:tcW w:w="3261" w:type="dxa"/>
            <w:tcBorders>
              <w:left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p>
        </w:tc>
      </w:tr>
      <w:tr w:rsidR="00596DEA" w:rsidRPr="00CF0DCC" w:rsidTr="008C32D1">
        <w:trPr>
          <w:trHeight w:val="300"/>
        </w:trPr>
        <w:tc>
          <w:tcPr>
            <w:tcW w:w="6232" w:type="dxa"/>
            <w:tcBorders>
              <w:top w:val="nil"/>
              <w:left w:val="single" w:sz="4" w:space="0" w:color="auto"/>
              <w:bottom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r w:rsidRPr="00CF0DCC">
              <w:rPr>
                <w:rFonts w:ascii="Garamond" w:hAnsi="Garamond"/>
                <w:color w:val="000000"/>
              </w:rPr>
              <w:t>United Resistance Front (URF)</w:t>
            </w:r>
          </w:p>
        </w:tc>
        <w:tc>
          <w:tcPr>
            <w:tcW w:w="3261" w:type="dxa"/>
            <w:tcBorders>
              <w:top w:val="nil"/>
              <w:left w:val="single" w:sz="4" w:space="0" w:color="auto"/>
              <w:bottom w:val="single" w:sz="4" w:space="0" w:color="auto"/>
              <w:right w:val="single" w:sz="4" w:space="0" w:color="auto"/>
            </w:tcBorders>
            <w:shd w:val="clear" w:color="auto" w:fill="auto"/>
            <w:noWrap/>
            <w:vAlign w:val="bottom"/>
          </w:tcPr>
          <w:p w:rsidR="00596DEA" w:rsidRPr="00CF0DCC" w:rsidRDefault="00596DEA" w:rsidP="00CF0DCC">
            <w:pPr>
              <w:rPr>
                <w:rFonts w:ascii="Garamond" w:hAnsi="Garamond"/>
                <w:color w:val="000000"/>
              </w:rPr>
            </w:pPr>
          </w:p>
        </w:tc>
      </w:tr>
    </w:tbl>
    <w:p w:rsidR="00596DEA" w:rsidRPr="00CF0DCC" w:rsidRDefault="00596DEA" w:rsidP="00CF0DCC">
      <w:pPr>
        <w:spacing w:after="120" w:line="360" w:lineRule="auto"/>
        <w:jc w:val="both"/>
        <w:rPr>
          <w:rFonts w:ascii="Garamond" w:hAnsi="Garamond"/>
        </w:rPr>
      </w:pPr>
    </w:p>
    <w:p w:rsidR="00596DEA" w:rsidRPr="00CF0DCC" w:rsidRDefault="00596DEA" w:rsidP="00CF0DCC">
      <w:pPr>
        <w:spacing w:after="120" w:line="360" w:lineRule="auto"/>
        <w:jc w:val="both"/>
        <w:rPr>
          <w:rFonts w:ascii="Garamond" w:hAnsi="Garamond"/>
        </w:rPr>
      </w:pPr>
      <w:r w:rsidRPr="00CF0DCC">
        <w:rPr>
          <w:rFonts w:ascii="Garamond" w:hAnsi="Garamond"/>
        </w:rPr>
        <w:lastRenderedPageBreak/>
        <w:t xml:space="preserve">Figure </w:t>
      </w:r>
      <w:r w:rsidR="003B6B03">
        <w:rPr>
          <w:rFonts w:ascii="Garamond" w:hAnsi="Garamond"/>
        </w:rPr>
        <w:t>A-II</w:t>
      </w:r>
      <w:r w:rsidRPr="00CF0DCC">
        <w:rPr>
          <w:rFonts w:ascii="Garamond" w:hAnsi="Garamond"/>
        </w:rPr>
        <w:t xml:space="preserve"> shows the spatial distribution of armed clashes across Darfur. The boundaries of the localities </w:t>
      </w:r>
      <w:proofErr w:type="gramStart"/>
      <w:r w:rsidRPr="00CF0DCC">
        <w:rPr>
          <w:rFonts w:ascii="Garamond" w:hAnsi="Garamond"/>
        </w:rPr>
        <w:t>are also shown</w:t>
      </w:r>
      <w:proofErr w:type="gramEnd"/>
      <w:r w:rsidRPr="00CF0DCC">
        <w:rPr>
          <w:rFonts w:ascii="Garamond" w:hAnsi="Garamond"/>
        </w:rPr>
        <w:t xml:space="preserve">. Armed violence in Darfur displays a high degree of spatial clustering </w:t>
      </w:r>
      <w:r w:rsidRPr="00CF0DCC">
        <w:rPr>
          <w:rFonts w:ascii="Garamond" w:hAnsi="Garamond"/>
        </w:rPr>
        <w:fldChar w:fldCharType="begin">
          <w:fldData xml:space="preserve">PEVuZE5vdGU+PENpdGU+PEF1dGhvcj5kZSBXYWFsPC9BdXRob3I+PFllYXI+MjAxNDwvWWVhcj48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</w:fldData>
        </w:fldChar>
      </w:r>
      <w:r w:rsidRPr="00CF0DCC">
        <w:rPr>
          <w:rFonts w:ascii="Garamond" w:hAnsi="Garamond"/>
        </w:rPr>
        <w:instrText xml:space="preserve"> ADDIN EN.CITE </w:instrText>
      </w:r>
      <w:r w:rsidRPr="00CF0DCC">
        <w:rPr>
          <w:rFonts w:ascii="Garamond" w:hAnsi="Garamond"/>
        </w:rPr>
        <w:fldChar w:fldCharType="begin">
          <w:fldData xml:space="preserve">PEVuZE5vdGU+PENpdGU+PEF1dGhvcj5kZSBXYWFsPC9BdXRob3I+PFllYXI+MjAxNDwvWWVhcj48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</w:fldData>
        </w:fldChar>
      </w:r>
      <w:r w:rsidRPr="00CF0DCC">
        <w:rPr>
          <w:rFonts w:ascii="Garamond" w:hAnsi="Garamond"/>
        </w:rPr>
        <w:instrText xml:space="preserve"> ADDIN EN.CITE.DATA </w:instrText>
      </w:r>
      <w:r w:rsidRPr="00CF0DCC">
        <w:rPr>
          <w:rFonts w:ascii="Garamond" w:hAnsi="Garamond"/>
        </w:rPr>
      </w:r>
      <w:r w:rsidRPr="00CF0DCC">
        <w:rPr>
          <w:rFonts w:ascii="Garamond" w:hAnsi="Garamond"/>
        </w:rPr>
        <w:fldChar w:fldCharType="end"/>
      </w:r>
      <w:r w:rsidRPr="00CF0DCC">
        <w:rPr>
          <w:rFonts w:ascii="Garamond" w:hAnsi="Garamond"/>
        </w:rPr>
      </w:r>
      <w:r w:rsidRPr="00CF0DCC">
        <w:rPr>
          <w:rFonts w:ascii="Garamond" w:hAnsi="Garamond"/>
        </w:rPr>
        <w:fldChar w:fldCharType="separate"/>
      </w:r>
      <w:r w:rsidRPr="00CF0DCC">
        <w:rPr>
          <w:rFonts w:ascii="Garamond" w:hAnsi="Garamond"/>
          <w:noProof/>
        </w:rPr>
        <w:t>(see also: De Waal et al., 2014; Duursma and Read, 2017)</w:t>
      </w:r>
      <w:r w:rsidRPr="00CF0DCC">
        <w:rPr>
          <w:rFonts w:ascii="Garamond" w:hAnsi="Garamond"/>
        </w:rPr>
        <w:fldChar w:fldCharType="end"/>
      </w:r>
      <w:r w:rsidRPr="00CF0DCC">
        <w:rPr>
          <w:rFonts w:ascii="Garamond" w:hAnsi="Garamond"/>
        </w:rPr>
        <w:t>.</w:t>
      </w:r>
    </w:p>
    <w:p w:rsidR="00596DEA" w:rsidRPr="00CF0DCC" w:rsidRDefault="00596DEA" w:rsidP="00CF0DCC">
      <w:pPr>
        <w:spacing w:after="120" w:line="360" w:lineRule="auto"/>
        <w:jc w:val="both"/>
        <w:rPr>
          <w:rFonts w:ascii="Garamond" w:hAnsi="Garamond"/>
        </w:rPr>
      </w:pPr>
    </w:p>
    <w:p w:rsidR="00596DEA" w:rsidRPr="00CF0DCC" w:rsidRDefault="003B6B03" w:rsidP="00CF0DCC">
      <w:pPr>
        <w:spacing w:after="120" w:line="360" w:lineRule="auto"/>
        <w:jc w:val="both"/>
        <w:rPr>
          <w:rFonts w:ascii="Garamond" w:hAnsi="Garamond"/>
          <w:i/>
          <w:iCs/>
        </w:rPr>
      </w:pPr>
      <w:r>
        <w:rPr>
          <w:rFonts w:ascii="Garamond" w:hAnsi="Garamond"/>
          <w:i/>
          <w:iCs/>
        </w:rPr>
        <w:t>Figure A-II.</w:t>
      </w:r>
      <w:r w:rsidR="00596DEA" w:rsidRPr="00CF0DCC">
        <w:rPr>
          <w:rFonts w:ascii="Garamond" w:hAnsi="Garamond"/>
          <w:i/>
          <w:iCs/>
        </w:rPr>
        <w:t xml:space="preserve"> The spatial distribution of armed clashes across Darfur, January 2008 and August 2009</w:t>
      </w:r>
    </w:p>
    <w:p w:rsidR="00596DEA" w:rsidRPr="00CF0DCC" w:rsidRDefault="00596DEA" w:rsidP="00CF0DCC">
      <w:pPr>
        <w:spacing w:after="120" w:line="360" w:lineRule="auto"/>
        <w:jc w:val="both"/>
        <w:rPr>
          <w:rFonts w:ascii="Garamond" w:hAnsi="Garamond"/>
        </w:rPr>
      </w:pPr>
      <w:r w:rsidRPr="00CF0DCC">
        <w:rPr>
          <w:rFonts w:ascii="Garamond" w:hAnsi="Garamond"/>
          <w:noProof/>
          <w:lang w:val="de-CH" w:eastAsia="de-CH"/>
        </w:rPr>
        <w:drawing>
          <wp:inline distT="0" distB="0" distL="0" distR="0" wp14:anchorId="57006888" wp14:editId="45B71A53">
            <wp:extent cx="3016250" cy="4629150"/>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6250" cy="4629150"/>
                    </a:xfrm>
                    <a:prstGeom prst="rect">
                      <a:avLst/>
                    </a:prstGeom>
                    <a:noFill/>
                    <a:ln>
                      <a:noFill/>
                    </a:ln>
                  </pic:spPr>
                </pic:pic>
              </a:graphicData>
            </a:graphic>
          </wp:inline>
        </w:drawing>
      </w:r>
    </w:p>
    <w:p w:rsidR="00596DEA" w:rsidRPr="00CF0DCC" w:rsidRDefault="00596DEA" w:rsidP="00CF0DCC">
      <w:pPr>
        <w:spacing w:after="120" w:line="360" w:lineRule="auto"/>
        <w:rPr>
          <w:rFonts w:ascii="Garamond" w:hAnsi="Garamond"/>
        </w:rPr>
      </w:pPr>
    </w:p>
    <w:p w:rsidR="00596DEA" w:rsidRDefault="00596DEA" w:rsidP="00CF0DCC">
      <w:pPr>
        <w:spacing w:after="120" w:line="360" w:lineRule="auto"/>
        <w:jc w:val="both"/>
        <w:rPr>
          <w:rFonts w:ascii="Garamond" w:hAnsi="Garamond"/>
        </w:rPr>
      </w:pPr>
      <w:r w:rsidRPr="00CF0DCC">
        <w:rPr>
          <w:rFonts w:ascii="Garamond" w:hAnsi="Garamond"/>
        </w:rPr>
        <w:t xml:space="preserve">Figure </w:t>
      </w:r>
      <w:r w:rsidR="00FE15F1">
        <w:rPr>
          <w:rFonts w:ascii="Garamond" w:hAnsi="Garamond"/>
        </w:rPr>
        <w:t>A-III</w:t>
      </w:r>
      <w:r w:rsidRPr="00CF0DCC">
        <w:rPr>
          <w:rFonts w:ascii="Garamond" w:hAnsi="Garamond"/>
        </w:rPr>
        <w:t xml:space="preserve"> shows the temporal trend of armed clashes in Darfur between January 2008 and August 2009. One can clearly observe that armed violence peaked in September 2009 in the studied </w:t>
      </w:r>
      <w:proofErr w:type="gramStart"/>
      <w:r w:rsidRPr="00CF0DCC">
        <w:rPr>
          <w:rFonts w:ascii="Garamond" w:hAnsi="Garamond"/>
        </w:rPr>
        <w:t>time period</w:t>
      </w:r>
      <w:proofErr w:type="gramEnd"/>
      <w:r w:rsidRPr="00CF0DCC">
        <w:rPr>
          <w:rFonts w:ascii="Garamond" w:hAnsi="Garamond"/>
        </w:rPr>
        <w:t xml:space="preserve">. Most strikingly, April, June, and July experienced no armed clashes between armed actors of which the identity of both actors </w:t>
      </w:r>
      <w:proofErr w:type="gramStart"/>
      <w:r w:rsidRPr="00CF0DCC">
        <w:rPr>
          <w:rFonts w:ascii="Garamond" w:hAnsi="Garamond"/>
        </w:rPr>
        <w:t>could be established</w:t>
      </w:r>
      <w:proofErr w:type="gramEnd"/>
      <w:r w:rsidRPr="00CF0DCC">
        <w:rPr>
          <w:rFonts w:ascii="Garamond" w:hAnsi="Garamond"/>
        </w:rPr>
        <w:t xml:space="preserve">. To check whether this finding is not a data issue, I looked at the armed clashes reported by the Armed Conflict Location Event Data (ACLED) project in April, June, July, and August </w:t>
      </w:r>
      <w:r w:rsidRPr="00CF0DCC">
        <w:rPr>
          <w:rFonts w:ascii="Garamond" w:hAnsi="Garamond"/>
        </w:rPr>
        <w:fldChar w:fldCharType="begin"/>
      </w:r>
      <w:r w:rsidRPr="00CF0DCC">
        <w:rPr>
          <w:rFonts w:ascii="Garamond" w:hAnsi="Garamond"/>
        </w:rPr>
        <w:instrText xml:space="preserve"> ADDIN EN.CITE &lt;EndNote&gt;&lt;Cite&gt;&lt;Author&gt;Raleigh&lt;/Author&gt;&lt;Year&gt;2010&lt;/Year&gt;&lt;RecNum&gt;1644&lt;/RecNum&gt;&lt;DisplayText&gt;(Raleigh et al., 2010)&lt;/DisplayText&gt;&lt;record&gt;&lt;rec-number&gt;1644&lt;/rec-number&gt;&lt;foreign-keys&gt;&lt;key app="EN" db-id="swpt0zpavdd5ayez9sqp5ss32d9dxxwzdwsp" timestamp="1468520707"&gt;1644&lt;/key&gt;&lt;/foreign-keys&gt;&lt;ref-type name="Journal Article"&gt;17&lt;/ref-type&gt;&lt;contributors&gt;&lt;authors&gt;&lt;author&gt;Raleigh, Clionadh&lt;/author&gt;&lt;author&gt;Linke, Andrew&lt;/author&gt;&lt;author&gt;Hegre, Håvard&lt;/author&gt;&lt;author&gt;Karlsen, Joakim&lt;/author&gt;&lt;/authors&gt;&lt;/contributors&gt;&lt;titles&gt;&lt;title&gt;Introducing ACLED: An Armed Conflict Location and Event Dataset&lt;/title&gt;&lt;secondary-title&gt;Journal of Peace Research&lt;/secondary-title&gt;&lt;/titles&gt;&lt;periodical&gt;&lt;full-title&gt;Journal of Peace Research&lt;/full-title&gt;&lt;/periodical&gt;&lt;pages&gt;651-660&lt;/pages&gt;&lt;volume&gt;47&lt;/volume&gt;&lt;number&gt;5&lt;/number&gt;&lt;dates&gt;&lt;year&gt;2010&lt;/year&gt;&lt;pub-dates&gt;&lt;date&gt;September 1, 2010&lt;/date&gt;&lt;/pub-dates&gt;&lt;/dates&gt;&lt;urls&gt;&lt;related-urls&gt;&lt;url&gt;http://jpr.sagepub.com/content/47/5/651.abstract&lt;/url&gt;&lt;/related-urls&gt;&lt;/urls&gt;&lt;electronic-resource-num&gt;10.1177/0022343310378914&lt;/electronic-resource-num&gt;&lt;/record&gt;&lt;/Cite&gt;&lt;/EndNote&gt;</w:instrText>
      </w:r>
      <w:r w:rsidRPr="00CF0DCC">
        <w:rPr>
          <w:rFonts w:ascii="Garamond" w:hAnsi="Garamond"/>
        </w:rPr>
        <w:fldChar w:fldCharType="separate"/>
      </w:r>
      <w:r w:rsidRPr="00CF0DCC">
        <w:rPr>
          <w:rFonts w:ascii="Garamond" w:hAnsi="Garamond"/>
          <w:noProof/>
        </w:rPr>
        <w:t>(Raleigh et al., 2010)</w:t>
      </w:r>
      <w:r w:rsidRPr="00CF0DCC">
        <w:rPr>
          <w:rFonts w:ascii="Garamond" w:hAnsi="Garamond"/>
        </w:rPr>
        <w:fldChar w:fldCharType="end"/>
      </w:r>
      <w:r w:rsidRPr="00CF0DCC">
        <w:rPr>
          <w:rFonts w:ascii="Garamond" w:hAnsi="Garamond"/>
        </w:rPr>
        <w:t xml:space="preserve">. ACLED identifies </w:t>
      </w:r>
      <w:proofErr w:type="gramStart"/>
      <w:r w:rsidRPr="00CF0DCC">
        <w:rPr>
          <w:rFonts w:ascii="Garamond" w:hAnsi="Garamond"/>
        </w:rPr>
        <w:t>one armed</w:t>
      </w:r>
      <w:proofErr w:type="gramEnd"/>
      <w:r w:rsidRPr="00CF0DCC">
        <w:rPr>
          <w:rFonts w:ascii="Garamond" w:hAnsi="Garamond"/>
        </w:rPr>
        <w:t xml:space="preserve"> clash in June and two in August, but all these clashes involved an unidentified armed group. Furthermore, the sudden drop in armed violence in Darfur is in line with an observation made by General Martin </w:t>
      </w:r>
      <w:proofErr w:type="spellStart"/>
      <w:r w:rsidRPr="00CF0DCC">
        <w:rPr>
          <w:rFonts w:ascii="Garamond" w:hAnsi="Garamond"/>
        </w:rPr>
        <w:t>Agawi</w:t>
      </w:r>
      <w:proofErr w:type="spellEnd"/>
      <w:r w:rsidRPr="00CF0DCC">
        <w:rPr>
          <w:rFonts w:ascii="Garamond" w:hAnsi="Garamond"/>
        </w:rPr>
        <w:t xml:space="preserve">, the former Force Commander of UNAMID, who controversially </w:t>
      </w:r>
      <w:r w:rsidRPr="00CF0DCC">
        <w:rPr>
          <w:rFonts w:ascii="Garamond" w:hAnsi="Garamond"/>
        </w:rPr>
        <w:lastRenderedPageBreak/>
        <w:t xml:space="preserve">declared on stepping down on 26 August 2009, that the war in Darfur had effectively ended </w:t>
      </w:r>
      <w:r w:rsidRPr="00CF0DCC">
        <w:rPr>
          <w:rFonts w:ascii="Garamond" w:hAnsi="Garamond"/>
        </w:rPr>
        <w:fldChar w:fldCharType="begin"/>
      </w:r>
      <w:r w:rsidRPr="00CF0DCC">
        <w:rPr>
          <w:rFonts w:ascii="Garamond" w:hAnsi="Garamond"/>
        </w:rPr>
        <w:instrText xml:space="preserve"> ADDIN EN.CITE &lt;EndNote&gt;&lt;Cite&gt;&lt;Author&gt;De Waal&lt;/Author&gt;&lt;Year&gt;September 2009&lt;/Year&gt;&lt;RecNum&gt;1952&lt;/RecNum&gt;&lt;DisplayText&gt;(De Waal, September 2009)&lt;/DisplayText&gt;&lt;record&gt;&lt;rec-number&gt;1952&lt;/rec-number&gt;&lt;foreign-keys&gt;&lt;key app="EN" db-id="swpt0zpavdd5ayez9sqp5ss32d9dxxwzdwsp" timestamp="1506339813"&gt;1952&lt;/key&gt;&lt;/foreign-keys&gt;&lt;ref-type name="Journal Article"&gt;17&lt;/ref-type&gt;&lt;contributors&gt;&lt;authors&gt;&lt;author&gt;De Waal, Alex&lt;/author&gt;&lt;/authors&gt;&lt;/contributors&gt;&lt;titles&gt;&lt;title&gt;Briefing: Darfur&lt;/title&gt;&lt;/titles&gt;&lt;dates&gt;&lt;year&gt;September 2009&lt;/year&gt;&lt;/dates&gt;&lt;urls&gt;&lt;/urls&gt;&lt;/record&gt;&lt;/Cite&gt;&lt;/EndNote&gt;</w:instrText>
      </w:r>
      <w:r w:rsidRPr="00CF0DCC">
        <w:rPr>
          <w:rFonts w:ascii="Garamond" w:hAnsi="Garamond"/>
        </w:rPr>
        <w:fldChar w:fldCharType="separate"/>
      </w:r>
      <w:r w:rsidRPr="00CF0DCC">
        <w:rPr>
          <w:rFonts w:ascii="Garamond" w:hAnsi="Garamond"/>
        </w:rPr>
        <w:t>(De Waal, September 2009)</w:t>
      </w:r>
      <w:r w:rsidRPr="00CF0DCC">
        <w:rPr>
          <w:rFonts w:ascii="Garamond" w:hAnsi="Garamond"/>
        </w:rPr>
        <w:fldChar w:fldCharType="end"/>
      </w:r>
      <w:r w:rsidRPr="00CF0DCC">
        <w:rPr>
          <w:rFonts w:ascii="Garamond" w:hAnsi="Garamond"/>
        </w:rPr>
        <w:t xml:space="preserve">. Empirically speaking, General </w:t>
      </w:r>
      <w:proofErr w:type="spellStart"/>
      <w:r w:rsidRPr="00CF0DCC">
        <w:rPr>
          <w:rFonts w:ascii="Garamond" w:hAnsi="Garamond"/>
        </w:rPr>
        <w:t>Agwai</w:t>
      </w:r>
      <w:proofErr w:type="spellEnd"/>
      <w:r w:rsidRPr="00CF0DCC">
        <w:rPr>
          <w:rFonts w:ascii="Garamond" w:hAnsi="Garamond"/>
        </w:rPr>
        <w:t xml:space="preserve"> was indeed not far from the truth. Figure </w:t>
      </w:r>
      <w:r w:rsidR="008C47E7">
        <w:rPr>
          <w:rFonts w:ascii="Garamond" w:hAnsi="Garamond"/>
        </w:rPr>
        <w:t>A-III</w:t>
      </w:r>
      <w:r w:rsidRPr="00CF0DCC">
        <w:rPr>
          <w:rFonts w:ascii="Garamond" w:hAnsi="Garamond"/>
        </w:rPr>
        <w:t xml:space="preserve"> show that armed violence in Darfur reached a low ebb in April 2009.</w:t>
      </w:r>
      <w:r w:rsidRPr="00CF0DCC">
        <w:rPr>
          <w:rStyle w:val="Funotenzeichen"/>
          <w:rFonts w:ascii="Garamond" w:hAnsi="Garamond"/>
        </w:rPr>
        <w:footnoteReference w:id="1"/>
      </w:r>
      <w:r w:rsidRPr="00CF0DCC">
        <w:rPr>
          <w:rFonts w:ascii="Garamond" w:hAnsi="Garamond"/>
        </w:rPr>
        <w:t xml:space="preserve"> </w:t>
      </w:r>
    </w:p>
    <w:p w:rsidR="008C32D1" w:rsidRPr="00CF0DCC" w:rsidRDefault="008C32D1" w:rsidP="00CF0DCC">
      <w:pPr>
        <w:spacing w:after="120" w:line="360" w:lineRule="auto"/>
        <w:jc w:val="both"/>
        <w:rPr>
          <w:rFonts w:ascii="Garamond" w:hAnsi="Garamond"/>
          <w:i/>
          <w:iCs/>
        </w:rPr>
      </w:pPr>
    </w:p>
    <w:p w:rsidR="00596DEA" w:rsidRPr="00CF0DCC" w:rsidRDefault="00596DEA" w:rsidP="00CF0DCC">
      <w:pPr>
        <w:spacing w:after="120" w:line="360" w:lineRule="auto"/>
        <w:jc w:val="both"/>
        <w:rPr>
          <w:rFonts w:ascii="Garamond" w:hAnsi="Garamond"/>
          <w:i/>
          <w:iCs/>
        </w:rPr>
      </w:pPr>
      <w:r w:rsidRPr="00CF0DCC">
        <w:rPr>
          <w:rFonts w:ascii="Garamond" w:hAnsi="Garamond"/>
          <w:i/>
          <w:iCs/>
        </w:rPr>
        <w:t xml:space="preserve">Figure </w:t>
      </w:r>
      <w:r w:rsidR="00FE15F1">
        <w:rPr>
          <w:rFonts w:ascii="Garamond" w:hAnsi="Garamond"/>
          <w:i/>
          <w:iCs/>
        </w:rPr>
        <w:t>A-III</w:t>
      </w:r>
      <w:r w:rsidRPr="00CF0DCC">
        <w:rPr>
          <w:rFonts w:ascii="Garamond" w:hAnsi="Garamond"/>
          <w:i/>
          <w:iCs/>
        </w:rPr>
        <w:t>: Temporal trend</w:t>
      </w:r>
      <w:r w:rsidRPr="00CF0DCC">
        <w:rPr>
          <w:rFonts w:ascii="Garamond" w:hAnsi="Garamond"/>
          <w:i/>
        </w:rPr>
        <w:t xml:space="preserve"> of armed </w:t>
      </w:r>
      <w:r w:rsidRPr="00CF0DCC">
        <w:rPr>
          <w:rFonts w:ascii="Garamond" w:hAnsi="Garamond"/>
          <w:i/>
          <w:iCs/>
        </w:rPr>
        <w:t>clashes</w:t>
      </w:r>
      <w:r w:rsidRPr="00CF0DCC">
        <w:rPr>
          <w:rFonts w:ascii="Garamond" w:hAnsi="Garamond"/>
          <w:i/>
        </w:rPr>
        <w:t xml:space="preserve"> in Darfur</w:t>
      </w:r>
      <w:r w:rsidRPr="00CF0DCC">
        <w:rPr>
          <w:rFonts w:ascii="Garamond" w:hAnsi="Garamond"/>
          <w:i/>
          <w:iCs/>
        </w:rPr>
        <w:t>, January 2008 and August 2009</w:t>
      </w:r>
    </w:p>
    <w:p w:rsidR="00596DEA" w:rsidRPr="00CF0DCC" w:rsidRDefault="00596DEA" w:rsidP="00CF0DCC">
      <w:pPr>
        <w:spacing w:after="120" w:line="360" w:lineRule="auto"/>
        <w:jc w:val="both"/>
        <w:rPr>
          <w:rFonts w:ascii="Garamond" w:hAnsi="Garamond"/>
          <w:i/>
          <w:iCs/>
        </w:rPr>
      </w:pPr>
      <w:r w:rsidRPr="00CF0DCC">
        <w:rPr>
          <w:rFonts w:ascii="Garamond" w:hAnsi="Garamond"/>
          <w:noProof/>
          <w:lang w:val="de-CH" w:eastAsia="de-CH"/>
        </w:rPr>
        <w:drawing>
          <wp:inline distT="0" distB="0" distL="0" distR="0" wp14:anchorId="1C79B1BB" wp14:editId="03A402AB">
            <wp:extent cx="4826000" cy="2654300"/>
            <wp:effectExtent l="0" t="0" r="12700" b="1270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31336" w:rsidRPr="00CF0DCC" w:rsidRDefault="00431336" w:rsidP="00CF0DCC">
      <w:pPr>
        <w:spacing w:after="120" w:line="360" w:lineRule="auto"/>
        <w:rPr>
          <w:rFonts w:ascii="Garamond" w:hAnsi="Garamond"/>
          <w:lang w:val="en-US"/>
        </w:rPr>
      </w:pPr>
    </w:p>
    <w:p w:rsidR="00431336" w:rsidRPr="00CF0DCC" w:rsidRDefault="00431336" w:rsidP="00CF0DCC">
      <w:pPr>
        <w:spacing w:after="120" w:line="360" w:lineRule="auto"/>
        <w:rPr>
          <w:rFonts w:ascii="Garamond" w:hAnsi="Garamond"/>
          <w:b/>
          <w:i/>
          <w:lang w:val="en-US"/>
        </w:rPr>
      </w:pPr>
      <w:r w:rsidRPr="00CF0DCC">
        <w:rPr>
          <w:rFonts w:ascii="Garamond" w:hAnsi="Garamond"/>
          <w:b/>
          <w:i/>
          <w:lang w:val="en-US"/>
        </w:rPr>
        <w:t>References</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lang w:val="en-US"/>
        </w:rPr>
        <w:fldChar w:fldCharType="begin"/>
      </w:r>
      <w:r w:rsidRPr="00CF0DCC">
        <w:rPr>
          <w:rFonts w:ascii="Garamond" w:hAnsi="Garamond"/>
          <w:lang w:val="en-US"/>
        </w:rPr>
        <w:instrText xml:space="preserve"> ADDIN EN.REFLIST </w:instrText>
      </w:r>
      <w:r w:rsidRPr="00CF0DCC">
        <w:rPr>
          <w:rFonts w:ascii="Garamond" w:hAnsi="Garamond"/>
          <w:lang w:val="en-US"/>
        </w:rPr>
        <w:fldChar w:fldCharType="separate"/>
      </w:r>
      <w:r w:rsidRPr="00CF0DCC">
        <w:rPr>
          <w:rFonts w:ascii="Garamond" w:hAnsi="Garamond"/>
        </w:rPr>
        <w:t xml:space="preserve">Brosché J and Duursma A. (2017) Hurdles to peace: a level-of-analysis approach to resolving Sudan’s civil wars. </w:t>
      </w:r>
      <w:r w:rsidRPr="00CF0DCC">
        <w:rPr>
          <w:rFonts w:ascii="Garamond" w:hAnsi="Garamond"/>
          <w:i/>
        </w:rPr>
        <w:t>Third World Quarterly</w:t>
      </w:r>
      <w:r w:rsidRPr="00CF0DCC">
        <w:rPr>
          <w:rFonts w:ascii="Garamond" w:hAnsi="Garamond"/>
        </w:rPr>
        <w:t>.</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De Waal A. (2013) Sudan: Darfur. In: Boulden J (ed) </w:t>
      </w:r>
      <w:r w:rsidRPr="00CF0DCC">
        <w:rPr>
          <w:rFonts w:ascii="Garamond" w:hAnsi="Garamond"/>
          <w:i/>
        </w:rPr>
        <w:t>Responding to Conflict in Africa: The United Nations and Regional Organizations.</w:t>
      </w:r>
      <w:r w:rsidRPr="00CF0DCC">
        <w:rPr>
          <w:rFonts w:ascii="Garamond" w:hAnsi="Garamond"/>
        </w:rPr>
        <w:t xml:space="preserve"> New York: Palgrave Macmillan.</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De Waal A. (2015) </w:t>
      </w:r>
      <w:r w:rsidRPr="00CF0DCC">
        <w:rPr>
          <w:rFonts w:ascii="Garamond" w:hAnsi="Garamond"/>
          <w:i/>
        </w:rPr>
        <w:t xml:space="preserve">The Real Politics of the Horn of Africa: Money, War and the Business of Power, </w:t>
      </w:r>
      <w:r w:rsidRPr="00CF0DCC">
        <w:rPr>
          <w:rFonts w:ascii="Garamond" w:hAnsi="Garamond"/>
        </w:rPr>
        <w:t>Cambridge: Polity.</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De Waal A. (December 2008) Memorandum: Prospects for Durable Peace in Sudan.</w:t>
      </w:r>
    </w:p>
    <w:p w:rsidR="00431336" w:rsidRPr="00CF0DCC" w:rsidRDefault="00431336" w:rsidP="00CF0DCC">
      <w:pPr>
        <w:pStyle w:val="EndNoteBibliography"/>
        <w:spacing w:after="120" w:line="360" w:lineRule="auto"/>
        <w:ind w:left="720" w:hanging="720"/>
        <w:rPr>
          <w:rFonts w:ascii="Garamond" w:hAnsi="Garamond"/>
          <w:lang w:val="nl-NL"/>
        </w:rPr>
      </w:pPr>
      <w:r w:rsidRPr="00CF0DCC">
        <w:rPr>
          <w:rFonts w:ascii="Garamond" w:hAnsi="Garamond"/>
          <w:lang w:val="nl-NL"/>
        </w:rPr>
        <w:t>De Waal A. (September 2009) Briefing: Darfur.</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De Waal A, Hazlett C, Davenport C, et al. (2014) The epidemiology of lethal violence in Darfur: Using micro-data to explore complex patterns of ongoing armed conflict. </w:t>
      </w:r>
      <w:r w:rsidRPr="00CF0DCC">
        <w:rPr>
          <w:rFonts w:ascii="Garamond" w:hAnsi="Garamond"/>
          <w:i/>
        </w:rPr>
        <w:t>Social Science &amp; Medicine</w:t>
      </w:r>
      <w:r w:rsidRPr="00CF0DCC">
        <w:rPr>
          <w:rFonts w:ascii="Garamond" w:hAnsi="Garamond"/>
        </w:rPr>
        <w:t xml:space="preserve"> 120: 368-377.</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lastRenderedPageBreak/>
        <w:t xml:space="preserve">Duursma A. (2017) When to Get Out of the Trench: Using Smart Pressure to Resolve Civil Wars. </w:t>
      </w:r>
      <w:r w:rsidRPr="00CF0DCC">
        <w:rPr>
          <w:rFonts w:ascii="Garamond" w:hAnsi="Garamond"/>
          <w:i/>
        </w:rPr>
        <w:t>Civil Wars</w:t>
      </w:r>
      <w:r w:rsidRPr="00CF0DCC">
        <w:rPr>
          <w:rFonts w:ascii="Garamond" w:hAnsi="Garamond"/>
        </w:rPr>
        <w:t xml:space="preserve"> 17: 43-61.</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Duursma A and Read R. (2017) Modelling Violence as Disease? Exploring the Possibilities of Epidemiological Analysis for Peacekeeping Data in Darfur. </w:t>
      </w:r>
      <w:r w:rsidRPr="00CF0DCC">
        <w:rPr>
          <w:rFonts w:ascii="Garamond" w:hAnsi="Garamond"/>
          <w:i/>
        </w:rPr>
        <w:t>International Peacekeeping</w:t>
      </w:r>
      <w:r w:rsidRPr="00CF0DCC">
        <w:rPr>
          <w:rFonts w:ascii="Garamond" w:hAnsi="Garamond"/>
        </w:rPr>
        <w:t>: 1-23.</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Flint J. (2010) </w:t>
      </w:r>
      <w:r w:rsidRPr="00CF0DCC">
        <w:rPr>
          <w:rFonts w:ascii="Garamond" w:hAnsi="Garamond"/>
          <w:i/>
        </w:rPr>
        <w:t xml:space="preserve">The other War: Inter-Arab Conflict in Darfur. Sudan Woking Paper, no. 22, </w:t>
      </w:r>
      <w:r w:rsidRPr="00CF0DCC">
        <w:rPr>
          <w:rFonts w:ascii="Garamond" w:hAnsi="Garamond"/>
        </w:rPr>
        <w:t>Geneva: Small Arms Survey.</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Flint J and de Waal A. (2008) </w:t>
      </w:r>
      <w:r w:rsidRPr="00CF0DCC">
        <w:rPr>
          <w:rFonts w:ascii="Garamond" w:hAnsi="Garamond"/>
          <w:i/>
        </w:rPr>
        <w:t xml:space="preserve">Darfur: A New History of a Long War, </w:t>
      </w:r>
      <w:r w:rsidRPr="00CF0DCC">
        <w:rPr>
          <w:rFonts w:ascii="Garamond" w:hAnsi="Garamond"/>
        </w:rPr>
        <w:t>London: Zed Books.</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Raleigh C, Linke A, Hegre H, et al. (2010) Introducing ACLED: An Armed Conflict Location and Event Dataset. </w:t>
      </w:r>
      <w:r w:rsidRPr="00CF0DCC">
        <w:rPr>
          <w:rFonts w:ascii="Garamond" w:hAnsi="Garamond"/>
          <w:i/>
        </w:rPr>
        <w:t>Journal of Peace Research</w:t>
      </w:r>
      <w:r w:rsidRPr="00CF0DCC">
        <w:rPr>
          <w:rFonts w:ascii="Garamond" w:hAnsi="Garamond"/>
        </w:rPr>
        <w:t xml:space="preserve"> 47: 651-660.</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Tanner V and Tubiana J. (2007) </w:t>
      </w:r>
      <w:r w:rsidRPr="00CF0DCC">
        <w:rPr>
          <w:rFonts w:ascii="Garamond" w:hAnsi="Garamond"/>
          <w:i/>
        </w:rPr>
        <w:t xml:space="preserve">Divided They Fall: The Fragmentation of Darfur’s Rebel Groups. HSBA Working Paper No. 6, </w:t>
      </w:r>
      <w:r w:rsidRPr="00CF0DCC">
        <w:rPr>
          <w:rFonts w:ascii="Garamond" w:hAnsi="Garamond"/>
        </w:rPr>
        <w:t>Geneva: The Small Arms Survey.</w:t>
      </w:r>
    </w:p>
    <w:p w:rsidR="00431336" w:rsidRPr="00CF0DCC" w:rsidRDefault="00431336" w:rsidP="00CF0DCC">
      <w:pPr>
        <w:pStyle w:val="EndNoteBibliography"/>
        <w:spacing w:after="120" w:line="360" w:lineRule="auto"/>
        <w:ind w:left="720" w:hanging="720"/>
        <w:rPr>
          <w:rFonts w:ascii="Garamond" w:hAnsi="Garamond"/>
        </w:rPr>
      </w:pPr>
      <w:r w:rsidRPr="00CF0DCC">
        <w:rPr>
          <w:rFonts w:ascii="Garamond" w:hAnsi="Garamond"/>
        </w:rPr>
        <w:t xml:space="preserve">Tubiana J. (2011) Renouncing the Rebels: Local and Regional Dimensions of Chad–Sudan Rapprochement. </w:t>
      </w:r>
      <w:r w:rsidRPr="00CF0DCC">
        <w:rPr>
          <w:rFonts w:ascii="Garamond" w:hAnsi="Garamond"/>
          <w:i/>
        </w:rPr>
        <w:t>Small Arms Survey</w:t>
      </w:r>
      <w:r w:rsidRPr="00CF0DCC">
        <w:rPr>
          <w:rFonts w:ascii="Garamond" w:hAnsi="Garamond"/>
        </w:rPr>
        <w:t xml:space="preserve"> HSBA Working Paper 25.</w:t>
      </w:r>
    </w:p>
    <w:p w:rsidR="0061651E" w:rsidRPr="00CF0DCC" w:rsidRDefault="00431336" w:rsidP="00CF0DCC">
      <w:pPr>
        <w:spacing w:after="120" w:line="360" w:lineRule="auto"/>
        <w:rPr>
          <w:rFonts w:ascii="Garamond" w:hAnsi="Garamond"/>
          <w:lang w:val="en-US"/>
        </w:rPr>
      </w:pPr>
      <w:r w:rsidRPr="00CF0DCC">
        <w:rPr>
          <w:rFonts w:ascii="Garamond" w:hAnsi="Garamond"/>
          <w:lang w:val="en-US"/>
        </w:rPr>
        <w:fldChar w:fldCharType="end"/>
      </w:r>
    </w:p>
    <w:sectPr w:rsidR="0061651E" w:rsidRPr="00CF0DC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EA" w:rsidRDefault="00596DEA" w:rsidP="00596DEA">
      <w:r>
        <w:separator/>
      </w:r>
    </w:p>
  </w:endnote>
  <w:endnote w:type="continuationSeparator" w:id="0">
    <w:p w:rsidR="00596DEA" w:rsidRDefault="00596DEA" w:rsidP="0059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EA" w:rsidRDefault="00596DEA" w:rsidP="00596DEA">
      <w:r>
        <w:separator/>
      </w:r>
    </w:p>
  </w:footnote>
  <w:footnote w:type="continuationSeparator" w:id="0">
    <w:p w:rsidR="00596DEA" w:rsidRDefault="00596DEA" w:rsidP="00596DEA">
      <w:r>
        <w:continuationSeparator/>
      </w:r>
    </w:p>
  </w:footnote>
  <w:footnote w:id="1">
    <w:p w:rsidR="00596DEA" w:rsidRPr="008C47E7" w:rsidRDefault="00596DEA" w:rsidP="008C47E7">
      <w:pPr>
        <w:pStyle w:val="Funotentext"/>
        <w:jc w:val="both"/>
        <w:rPr>
          <w:rFonts w:ascii="Garamond" w:hAnsi="Garamond"/>
          <w:lang w:val="en-US"/>
        </w:rPr>
      </w:pPr>
      <w:r w:rsidRPr="008C47E7">
        <w:rPr>
          <w:rStyle w:val="Funotenzeichen"/>
          <w:rFonts w:ascii="Garamond" w:hAnsi="Garamond"/>
        </w:rPr>
        <w:footnoteRef/>
      </w:r>
      <w:r w:rsidRPr="008C47E7">
        <w:rPr>
          <w:rFonts w:ascii="Garamond" w:hAnsi="Garamond"/>
        </w:rPr>
        <w:t xml:space="preserve"> </w:t>
      </w:r>
      <w:r w:rsidRPr="008C47E7">
        <w:rPr>
          <w:rFonts w:ascii="Garamond" w:hAnsi="Garamond"/>
          <w:lang w:val="en-US"/>
        </w:rPr>
        <w:t>It should, however, be noted that there was a JEM attack on Khartoum’s twin city, Omdurman, in May 2008, as well as a Chadian rebel attack on Chad’s capital, N’djamena, in February 2008 in which JEM helped defend the Chadian government.</w:t>
      </w:r>
      <w:bookmarkStart w:id="0" w:name="_GoBack"/>
      <w:bookmarkEnd w:id="0"/>
      <w:r w:rsidRPr="008C47E7">
        <w:rPr>
          <w:rFonts w:ascii="Garamond" w:hAnsi="Garamond"/>
          <w:lang w:val="en-US"/>
        </w:rPr>
        <w:t xml:space="preserve"> See: </w:t>
      </w:r>
      <w:r w:rsidRPr="008C47E7">
        <w:rPr>
          <w:rFonts w:ascii="Garamond" w:hAnsi="Garamond"/>
          <w:lang w:val="en-US"/>
        </w:rPr>
        <w:fldChar w:fldCharType="begin"/>
      </w:r>
      <w:r w:rsidRPr="008C47E7">
        <w:rPr>
          <w:rFonts w:ascii="Garamond" w:hAnsi="Garamond"/>
          <w:lang w:val="en-US"/>
        </w:rPr>
        <w:instrText xml:space="preserve"> ADDIN EN.CITE &lt;EndNote&gt;&lt;Cite&gt;&lt;Author&gt;Tubiana&lt;/Author&gt;&lt;Year&gt;2011&lt;/Year&gt;&lt;RecNum&gt;2019&lt;/RecNum&gt;&lt;DisplayText&gt;Tubiana J. (2011) Renouncing the Rebels: Local and Regional Dimensions of Chad–Sudan Rapprochement. &lt;style face="italic"&gt;Small Arms Survey&lt;/style&gt; HSBA Working Paper 25.&lt;/DisplayText&gt;&lt;record&gt;&lt;rec-number&gt;2019&lt;/rec-number&gt;&lt;foreign-keys&gt;&lt;key app="EN" db-id="swpt0zpavdd5ayez9sqp5ss32d9dxxwzdwsp" timestamp="1521635116"&gt;2019&lt;/key&gt;&lt;/foreign-keys&gt;&lt;ref-type name="Journal Article"&gt;17&lt;/ref-type&gt;&lt;contributors&gt;&lt;authors&gt;&lt;author&gt;Tubiana, Jérôme&lt;/author&gt;&lt;/authors&gt;&lt;/contributors&gt;&lt;titles&gt;&lt;title&gt;Renouncing the Rebels: Local and Regional Dimensions of Chad–Sudan Rapprochement&lt;/title&gt;&lt;secondary-title&gt;Small Arms Survey&lt;/secondary-title&gt;&lt;/titles&gt;&lt;periodical&gt;&lt;full-title&gt;Small Arms Survey&lt;/full-title&gt;&lt;/periodical&gt;&lt;volume&gt;HSBA Working Paper 25&lt;/volume&gt;&lt;dates&gt;&lt;year&gt;2011&lt;/year&gt;&lt;/dates&gt;&lt;urls&gt;&lt;/urls&gt;&lt;/record&gt;&lt;/Cite&gt;&lt;/EndNote&gt;</w:instrText>
      </w:r>
      <w:r w:rsidRPr="008C47E7">
        <w:rPr>
          <w:rFonts w:ascii="Garamond" w:hAnsi="Garamond"/>
          <w:lang w:val="en-US"/>
        </w:rPr>
        <w:fldChar w:fldCharType="separate"/>
      </w:r>
      <w:r w:rsidRPr="008C47E7">
        <w:rPr>
          <w:rFonts w:ascii="Garamond" w:hAnsi="Garamond"/>
          <w:noProof/>
          <w:lang w:val="en-US"/>
        </w:rPr>
        <w:t xml:space="preserve">Tubiana J. (2011) Renouncing the Rebels: Local and Regional Dimensions of Chad–Sudan Rapprochement. </w:t>
      </w:r>
      <w:r w:rsidRPr="008C47E7">
        <w:rPr>
          <w:rFonts w:ascii="Garamond" w:hAnsi="Garamond"/>
          <w:i/>
          <w:noProof/>
          <w:lang w:val="en-US"/>
        </w:rPr>
        <w:t>Small Arms Survey</w:t>
      </w:r>
      <w:r w:rsidRPr="008C47E7">
        <w:rPr>
          <w:rFonts w:ascii="Garamond" w:hAnsi="Garamond"/>
          <w:noProof/>
          <w:lang w:val="en-US"/>
        </w:rPr>
        <w:t xml:space="preserve"> HSBA Working Paper 25.</w:t>
      </w:r>
      <w:r w:rsidRPr="008C47E7">
        <w:rPr>
          <w:rFonts w:ascii="Garamond" w:hAnsi="Garamond"/>
          <w:lang w:val="en-U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Sage 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pt0zpavdd5ayez9sqp5ss32d9dxxwzdwsp&quot;&gt;Endnote&lt;record-ids&gt;&lt;item&gt;1077&lt;/item&gt;&lt;item&gt;1111&lt;/item&gt;&lt;item&gt;1131&lt;/item&gt;&lt;item&gt;1339&lt;/item&gt;&lt;item&gt;1346&lt;/item&gt;&lt;item&gt;1644&lt;/item&gt;&lt;item&gt;1851&lt;/item&gt;&lt;item&gt;1933&lt;/item&gt;&lt;item&gt;1950&lt;/item&gt;&lt;item&gt;1952&lt;/item&gt;&lt;item&gt;1955&lt;/item&gt;&lt;item&gt;1956&lt;/item&gt;&lt;item&gt;2019&lt;/item&gt;&lt;/record-ids&gt;&lt;/item&gt;&lt;/Libraries&gt;"/>
  </w:docVars>
  <w:rsids>
    <w:rsidRoot w:val="00596DEA"/>
    <w:rsid w:val="0003739F"/>
    <w:rsid w:val="00296FB1"/>
    <w:rsid w:val="003B6B03"/>
    <w:rsid w:val="00431336"/>
    <w:rsid w:val="00596DEA"/>
    <w:rsid w:val="0061651E"/>
    <w:rsid w:val="006B658B"/>
    <w:rsid w:val="008C32D1"/>
    <w:rsid w:val="008C47E7"/>
    <w:rsid w:val="00B97EB4"/>
    <w:rsid w:val="00CF0DCC"/>
    <w:rsid w:val="00ED6455"/>
    <w:rsid w:val="00FE15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565B"/>
  <w15:chartTrackingRefBased/>
  <w15:docId w15:val="{B19655B4-0EF0-4C0B-B490-F0C74491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6DEA"/>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uiPriority w:val="9"/>
    <w:qFormat/>
    <w:rsid w:val="00596D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6DEA"/>
    <w:rPr>
      <w:rFonts w:asciiTheme="majorHAnsi" w:eastAsiaTheme="majorEastAsia" w:hAnsiTheme="majorHAnsi" w:cstheme="majorBidi"/>
      <w:color w:val="2E74B5" w:themeColor="accent1" w:themeShade="BF"/>
      <w:sz w:val="32"/>
      <w:szCs w:val="32"/>
      <w:lang w:val="en-GB" w:eastAsia="en-GB"/>
    </w:rPr>
  </w:style>
  <w:style w:type="paragraph" w:styleId="Funotentext">
    <w:name w:val="footnote text"/>
    <w:basedOn w:val="Standard"/>
    <w:link w:val="FunotentextZchn"/>
    <w:uiPriority w:val="99"/>
    <w:unhideWhenUsed/>
    <w:rsid w:val="00596DEA"/>
    <w:rPr>
      <w:sz w:val="20"/>
      <w:szCs w:val="20"/>
    </w:rPr>
  </w:style>
  <w:style w:type="character" w:customStyle="1" w:styleId="FunotentextZchn">
    <w:name w:val="Fußnotentext Zchn"/>
    <w:basedOn w:val="Absatz-Standardschriftart"/>
    <w:link w:val="Funotentext"/>
    <w:uiPriority w:val="99"/>
    <w:rsid w:val="00596DEA"/>
    <w:rPr>
      <w:rFonts w:ascii="Times New Roman" w:eastAsia="Times New Roman" w:hAnsi="Times New Roman" w:cs="Times New Roman"/>
      <w:sz w:val="20"/>
      <w:szCs w:val="20"/>
      <w:lang w:val="en-GB" w:eastAsia="en-GB"/>
    </w:rPr>
  </w:style>
  <w:style w:type="character" w:styleId="Funotenzeichen">
    <w:name w:val="footnote reference"/>
    <w:basedOn w:val="Absatz-Standardschriftart"/>
    <w:uiPriority w:val="99"/>
    <w:unhideWhenUsed/>
    <w:rsid w:val="00596DEA"/>
    <w:rPr>
      <w:vertAlign w:val="superscript"/>
    </w:rPr>
  </w:style>
  <w:style w:type="paragraph" w:customStyle="1" w:styleId="EndNoteBibliographyTitle">
    <w:name w:val="EndNote Bibliography Title"/>
    <w:basedOn w:val="Standard"/>
    <w:link w:val="EndNoteBibliographyTitleZchn"/>
    <w:rsid w:val="00431336"/>
    <w:pPr>
      <w:jc w:val="center"/>
    </w:pPr>
    <w:rPr>
      <w:noProof/>
    </w:rPr>
  </w:style>
  <w:style w:type="character" w:customStyle="1" w:styleId="EndNoteBibliographyTitleZchn">
    <w:name w:val="EndNote Bibliography Title Zchn"/>
    <w:basedOn w:val="Absatz-Standardschriftart"/>
    <w:link w:val="EndNoteBibliographyTitle"/>
    <w:rsid w:val="00431336"/>
    <w:rPr>
      <w:rFonts w:ascii="Times New Roman" w:eastAsia="Times New Roman" w:hAnsi="Times New Roman" w:cs="Times New Roman"/>
      <w:noProof/>
      <w:sz w:val="24"/>
      <w:szCs w:val="24"/>
      <w:lang w:val="en-GB" w:eastAsia="en-GB"/>
    </w:rPr>
  </w:style>
  <w:style w:type="paragraph" w:customStyle="1" w:styleId="EndNoteBibliography">
    <w:name w:val="EndNote Bibliography"/>
    <w:basedOn w:val="Standard"/>
    <w:link w:val="EndNoteBibliographyZchn"/>
    <w:rsid w:val="00431336"/>
    <w:rPr>
      <w:noProof/>
    </w:rPr>
  </w:style>
  <w:style w:type="character" w:customStyle="1" w:styleId="EndNoteBibliographyZchn">
    <w:name w:val="EndNote Bibliography Zchn"/>
    <w:basedOn w:val="Absatz-Standardschriftart"/>
    <w:link w:val="EndNoteBibliography"/>
    <w:rsid w:val="00431336"/>
    <w:rPr>
      <w:rFonts w:ascii="Times New Roman" w:eastAsia="Times New Roman" w:hAnsi="Times New Roman" w:cs="Times New Roman"/>
      <w:noProo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ess-fs.d.ethz.ch\home$\aduursma\Desktop\Mediation%20and%20Peacekeeping%20in%20Darfur%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ess-fs.d.ethz.ch\home$\aduursma\Desktop\Mediation%20and%20Peacekeeping%20in%20Darfur%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57-4C44-8D15-ABEDCAC56D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57-4C44-8D15-ABEDCAC56D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57-4C44-8D15-ABEDCAC56D7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57-4C44-8D15-ABEDCAC56D7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57-4C44-8D15-ABEDCAC56D7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57-4C44-8D15-ABEDCAC56D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figures!$B$24:$G$24</c:f>
              <c:strCache>
                <c:ptCount val="6"/>
                <c:pt idx="0">
                  <c:v>government versus government </c:v>
                </c:pt>
                <c:pt idx="1">
                  <c:v>government versus rebels</c:v>
                </c:pt>
                <c:pt idx="2">
                  <c:v>government versus militia</c:v>
                </c:pt>
                <c:pt idx="3">
                  <c:v>rebels versus rebels</c:v>
                </c:pt>
                <c:pt idx="4">
                  <c:v>rebels versus militia</c:v>
                </c:pt>
                <c:pt idx="5">
                  <c:v>militia versus militia</c:v>
                </c:pt>
              </c:strCache>
            </c:strRef>
          </c:cat>
          <c:val>
            <c:numRef>
              <c:f>figures!$B$25:$G$25</c:f>
              <c:numCache>
                <c:formatCode>0</c:formatCode>
                <c:ptCount val="6"/>
                <c:pt idx="0">
                  <c:v>19</c:v>
                </c:pt>
                <c:pt idx="1">
                  <c:v>80</c:v>
                </c:pt>
                <c:pt idx="2">
                  <c:v>13</c:v>
                </c:pt>
                <c:pt idx="3">
                  <c:v>23</c:v>
                </c:pt>
                <c:pt idx="4">
                  <c:v>23</c:v>
                </c:pt>
                <c:pt idx="5">
                  <c:v>41</c:v>
                </c:pt>
              </c:numCache>
            </c:numRef>
          </c:val>
          <c:extLst>
            <c:ext xmlns:c16="http://schemas.microsoft.com/office/drawing/2014/chart" uri="{C3380CC4-5D6E-409C-BE32-E72D297353CC}">
              <c16:uniqueId val="{0000000C-3F57-4C44-8D15-ABEDCAC56D7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figures!$B$1</c:f>
              <c:strCache>
                <c:ptCount val="1"/>
                <c:pt idx="0">
                  <c:v>government versus government </c:v>
                </c:pt>
              </c:strCache>
            </c:strRef>
          </c:tx>
          <c:spPr>
            <a:solidFill>
              <a:schemeClr val="accent1"/>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figures!$B$2:$B$21</c:f>
              <c:numCache>
                <c:formatCode>0</c:formatCode>
                <c:ptCount val="20"/>
                <c:pt idx="0">
                  <c:v>1</c:v>
                </c:pt>
                <c:pt idx="1">
                  <c:v>0</c:v>
                </c:pt>
                <c:pt idx="2">
                  <c:v>1</c:v>
                </c:pt>
                <c:pt idx="3">
                  <c:v>3</c:v>
                </c:pt>
                <c:pt idx="4">
                  <c:v>1</c:v>
                </c:pt>
                <c:pt idx="5">
                  <c:v>0</c:v>
                </c:pt>
                <c:pt idx="6">
                  <c:v>2</c:v>
                </c:pt>
                <c:pt idx="7">
                  <c:v>3</c:v>
                </c:pt>
                <c:pt idx="8">
                  <c:v>0</c:v>
                </c:pt>
                <c:pt idx="9">
                  <c:v>1</c:v>
                </c:pt>
                <c:pt idx="10">
                  <c:v>0</c:v>
                </c:pt>
                <c:pt idx="11">
                  <c:v>2</c:v>
                </c:pt>
                <c:pt idx="12">
                  <c:v>1</c:v>
                </c:pt>
                <c:pt idx="13">
                  <c:v>0</c:v>
                </c:pt>
                <c:pt idx="14">
                  <c:v>0</c:v>
                </c:pt>
                <c:pt idx="15">
                  <c:v>0</c:v>
                </c:pt>
                <c:pt idx="16">
                  <c:v>3</c:v>
                </c:pt>
                <c:pt idx="17">
                  <c:v>0</c:v>
                </c:pt>
                <c:pt idx="18">
                  <c:v>0</c:v>
                </c:pt>
                <c:pt idx="19">
                  <c:v>1</c:v>
                </c:pt>
              </c:numCache>
            </c:numRef>
          </c:val>
          <c:extLst>
            <c:ext xmlns:c16="http://schemas.microsoft.com/office/drawing/2014/chart" uri="{C3380CC4-5D6E-409C-BE32-E72D297353CC}">
              <c16:uniqueId val="{00000000-8FCF-496A-B3FA-5955D62D5E5F}"/>
            </c:ext>
          </c:extLst>
        </c:ser>
        <c:ser>
          <c:idx val="1"/>
          <c:order val="1"/>
          <c:tx>
            <c:strRef>
              <c:f>figures!$C$1</c:f>
              <c:strCache>
                <c:ptCount val="1"/>
                <c:pt idx="0">
                  <c:v>government versus rebels</c:v>
                </c:pt>
              </c:strCache>
            </c:strRef>
          </c:tx>
          <c:spPr>
            <a:solidFill>
              <a:schemeClr val="accent2"/>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figures!$C$2:$C$21</c:f>
              <c:numCache>
                <c:formatCode>0</c:formatCode>
                <c:ptCount val="20"/>
                <c:pt idx="0">
                  <c:v>1</c:v>
                </c:pt>
                <c:pt idx="1">
                  <c:v>6</c:v>
                </c:pt>
                <c:pt idx="2">
                  <c:v>8</c:v>
                </c:pt>
                <c:pt idx="3">
                  <c:v>6</c:v>
                </c:pt>
                <c:pt idx="4">
                  <c:v>1</c:v>
                </c:pt>
                <c:pt idx="5">
                  <c:v>4</c:v>
                </c:pt>
                <c:pt idx="6">
                  <c:v>2</c:v>
                </c:pt>
                <c:pt idx="7">
                  <c:v>2</c:v>
                </c:pt>
                <c:pt idx="8">
                  <c:v>17</c:v>
                </c:pt>
                <c:pt idx="9">
                  <c:v>3</c:v>
                </c:pt>
                <c:pt idx="10">
                  <c:v>4</c:v>
                </c:pt>
                <c:pt idx="11">
                  <c:v>2</c:v>
                </c:pt>
                <c:pt idx="12">
                  <c:v>8</c:v>
                </c:pt>
                <c:pt idx="13">
                  <c:v>11</c:v>
                </c:pt>
                <c:pt idx="14">
                  <c:v>2</c:v>
                </c:pt>
                <c:pt idx="15">
                  <c:v>0</c:v>
                </c:pt>
                <c:pt idx="16">
                  <c:v>1</c:v>
                </c:pt>
                <c:pt idx="17">
                  <c:v>0</c:v>
                </c:pt>
                <c:pt idx="18">
                  <c:v>0</c:v>
                </c:pt>
                <c:pt idx="19">
                  <c:v>2</c:v>
                </c:pt>
              </c:numCache>
            </c:numRef>
          </c:val>
          <c:extLst>
            <c:ext xmlns:c16="http://schemas.microsoft.com/office/drawing/2014/chart" uri="{C3380CC4-5D6E-409C-BE32-E72D297353CC}">
              <c16:uniqueId val="{00000001-8FCF-496A-B3FA-5955D62D5E5F}"/>
            </c:ext>
          </c:extLst>
        </c:ser>
        <c:ser>
          <c:idx val="2"/>
          <c:order val="2"/>
          <c:tx>
            <c:strRef>
              <c:f>figures!$D$1</c:f>
              <c:strCache>
                <c:ptCount val="1"/>
                <c:pt idx="0">
                  <c:v>government versus militia</c:v>
                </c:pt>
              </c:strCache>
            </c:strRef>
          </c:tx>
          <c:spPr>
            <a:solidFill>
              <a:schemeClr val="accent3"/>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figures!$D$2:$D$21</c:f>
              <c:numCache>
                <c:formatCode>0</c:formatCode>
                <c:ptCount val="20"/>
                <c:pt idx="0">
                  <c:v>0</c:v>
                </c:pt>
                <c:pt idx="1">
                  <c:v>1</c:v>
                </c:pt>
                <c:pt idx="2">
                  <c:v>1</c:v>
                </c:pt>
                <c:pt idx="3">
                  <c:v>2</c:v>
                </c:pt>
                <c:pt idx="4">
                  <c:v>1</c:v>
                </c:pt>
                <c:pt idx="5">
                  <c:v>2</c:v>
                </c:pt>
                <c:pt idx="6">
                  <c:v>0</c:v>
                </c:pt>
                <c:pt idx="7">
                  <c:v>0</c:v>
                </c:pt>
                <c:pt idx="8">
                  <c:v>1</c:v>
                </c:pt>
                <c:pt idx="9">
                  <c:v>0</c:v>
                </c:pt>
                <c:pt idx="10">
                  <c:v>1</c:v>
                </c:pt>
                <c:pt idx="11">
                  <c:v>1</c:v>
                </c:pt>
                <c:pt idx="12">
                  <c:v>0</c:v>
                </c:pt>
                <c:pt idx="13">
                  <c:v>2</c:v>
                </c:pt>
                <c:pt idx="14">
                  <c:v>0</c:v>
                </c:pt>
                <c:pt idx="15">
                  <c:v>0</c:v>
                </c:pt>
                <c:pt idx="16">
                  <c:v>1</c:v>
                </c:pt>
                <c:pt idx="17">
                  <c:v>0</c:v>
                </c:pt>
                <c:pt idx="18">
                  <c:v>0</c:v>
                </c:pt>
                <c:pt idx="19">
                  <c:v>0</c:v>
                </c:pt>
              </c:numCache>
            </c:numRef>
          </c:val>
          <c:extLst>
            <c:ext xmlns:c16="http://schemas.microsoft.com/office/drawing/2014/chart" uri="{C3380CC4-5D6E-409C-BE32-E72D297353CC}">
              <c16:uniqueId val="{00000002-8FCF-496A-B3FA-5955D62D5E5F}"/>
            </c:ext>
          </c:extLst>
        </c:ser>
        <c:ser>
          <c:idx val="4"/>
          <c:order val="4"/>
          <c:tx>
            <c:strRef>
              <c:f>figures!$E$1</c:f>
              <c:strCache>
                <c:ptCount val="1"/>
                <c:pt idx="0">
                  <c:v>rebels versus rebels</c:v>
                </c:pt>
              </c:strCache>
            </c:strRef>
          </c:tx>
          <c:spPr>
            <a:solidFill>
              <a:schemeClr val="accent5"/>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figures!$E$2:$E$21</c:f>
              <c:numCache>
                <c:formatCode>0</c:formatCode>
                <c:ptCount val="20"/>
                <c:pt idx="0">
                  <c:v>7</c:v>
                </c:pt>
                <c:pt idx="1">
                  <c:v>2</c:v>
                </c:pt>
                <c:pt idx="2">
                  <c:v>1</c:v>
                </c:pt>
                <c:pt idx="3">
                  <c:v>2</c:v>
                </c:pt>
                <c:pt idx="4">
                  <c:v>5</c:v>
                </c:pt>
                <c:pt idx="5">
                  <c:v>2</c:v>
                </c:pt>
                <c:pt idx="6">
                  <c:v>0</c:v>
                </c:pt>
                <c:pt idx="7">
                  <c:v>1</c:v>
                </c:pt>
                <c:pt idx="8">
                  <c:v>0</c:v>
                </c:pt>
                <c:pt idx="9">
                  <c:v>0</c:v>
                </c:pt>
                <c:pt idx="10">
                  <c:v>0</c:v>
                </c:pt>
                <c:pt idx="11">
                  <c:v>0</c:v>
                </c:pt>
                <c:pt idx="12">
                  <c:v>2</c:v>
                </c:pt>
                <c:pt idx="13">
                  <c:v>1</c:v>
                </c:pt>
                <c:pt idx="14">
                  <c:v>0</c:v>
                </c:pt>
                <c:pt idx="15">
                  <c:v>0</c:v>
                </c:pt>
                <c:pt idx="16">
                  <c:v>0</c:v>
                </c:pt>
                <c:pt idx="17">
                  <c:v>0</c:v>
                </c:pt>
                <c:pt idx="18">
                  <c:v>0</c:v>
                </c:pt>
                <c:pt idx="19">
                  <c:v>0</c:v>
                </c:pt>
              </c:numCache>
            </c:numRef>
          </c:val>
          <c:extLst>
            <c:ext xmlns:c16="http://schemas.microsoft.com/office/drawing/2014/chart" uri="{C3380CC4-5D6E-409C-BE32-E72D297353CC}">
              <c16:uniqueId val="{00000003-8FCF-496A-B3FA-5955D62D5E5F}"/>
            </c:ext>
          </c:extLst>
        </c:ser>
        <c:ser>
          <c:idx val="5"/>
          <c:order val="5"/>
          <c:tx>
            <c:strRef>
              <c:f>figures!$F$1</c:f>
              <c:strCache>
                <c:ptCount val="1"/>
                <c:pt idx="0">
                  <c:v>rebels versus militia</c:v>
                </c:pt>
              </c:strCache>
            </c:strRef>
          </c:tx>
          <c:spPr>
            <a:solidFill>
              <a:schemeClr val="accent6"/>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figures!$F$2:$F$21</c:f>
              <c:numCache>
                <c:formatCode>0</c:formatCode>
                <c:ptCount val="20"/>
                <c:pt idx="0">
                  <c:v>3</c:v>
                </c:pt>
                <c:pt idx="1">
                  <c:v>1</c:v>
                </c:pt>
                <c:pt idx="2">
                  <c:v>2</c:v>
                </c:pt>
                <c:pt idx="3">
                  <c:v>1</c:v>
                </c:pt>
                <c:pt idx="4">
                  <c:v>1</c:v>
                </c:pt>
                <c:pt idx="5">
                  <c:v>5</c:v>
                </c:pt>
                <c:pt idx="6">
                  <c:v>0</c:v>
                </c:pt>
                <c:pt idx="7">
                  <c:v>1</c:v>
                </c:pt>
                <c:pt idx="8">
                  <c:v>4</c:v>
                </c:pt>
                <c:pt idx="9">
                  <c:v>3</c:v>
                </c:pt>
                <c:pt idx="10">
                  <c:v>0</c:v>
                </c:pt>
                <c:pt idx="11">
                  <c:v>0</c:v>
                </c:pt>
                <c:pt idx="12">
                  <c:v>0</c:v>
                </c:pt>
                <c:pt idx="13">
                  <c:v>2</c:v>
                </c:pt>
                <c:pt idx="14">
                  <c:v>0</c:v>
                </c:pt>
                <c:pt idx="15">
                  <c:v>0</c:v>
                </c:pt>
                <c:pt idx="16">
                  <c:v>0</c:v>
                </c:pt>
                <c:pt idx="17">
                  <c:v>0</c:v>
                </c:pt>
                <c:pt idx="18">
                  <c:v>0</c:v>
                </c:pt>
                <c:pt idx="19">
                  <c:v>0</c:v>
                </c:pt>
              </c:numCache>
            </c:numRef>
          </c:val>
          <c:extLst>
            <c:ext xmlns:c16="http://schemas.microsoft.com/office/drawing/2014/chart" uri="{C3380CC4-5D6E-409C-BE32-E72D297353CC}">
              <c16:uniqueId val="{00000004-8FCF-496A-B3FA-5955D62D5E5F}"/>
            </c:ext>
          </c:extLst>
        </c:ser>
        <c:ser>
          <c:idx val="6"/>
          <c:order val="6"/>
          <c:tx>
            <c:strRef>
              <c:f>figures!$G$1</c:f>
              <c:strCache>
                <c:ptCount val="1"/>
                <c:pt idx="0">
                  <c:v>militia versus militia</c:v>
                </c:pt>
              </c:strCache>
            </c:strRef>
          </c:tx>
          <c:spPr>
            <a:solidFill>
              <a:schemeClr val="accent1">
                <a:lumMod val="60000"/>
              </a:schemeClr>
            </a:solidFill>
            <a:ln>
              <a:noFill/>
            </a:ln>
            <a:effectLst/>
          </c:spPr>
          <c:invertIfNegative val="0"/>
          <c:cat>
            <c:numRef>
              <c:f>figures!$A$2:$A$21</c:f>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f>figures!$G$2:$G$21</c:f>
              <c:numCache>
                <c:formatCode>0</c:formatCode>
                <c:ptCount val="20"/>
                <c:pt idx="0">
                  <c:v>1</c:v>
                </c:pt>
                <c:pt idx="1">
                  <c:v>2</c:v>
                </c:pt>
                <c:pt idx="2">
                  <c:v>3</c:v>
                </c:pt>
                <c:pt idx="3">
                  <c:v>3</c:v>
                </c:pt>
                <c:pt idx="4">
                  <c:v>6</c:v>
                </c:pt>
                <c:pt idx="5">
                  <c:v>3</c:v>
                </c:pt>
                <c:pt idx="6">
                  <c:v>2</c:v>
                </c:pt>
                <c:pt idx="7">
                  <c:v>1</c:v>
                </c:pt>
                <c:pt idx="8">
                  <c:v>1</c:v>
                </c:pt>
                <c:pt idx="9">
                  <c:v>0</c:v>
                </c:pt>
                <c:pt idx="10">
                  <c:v>1</c:v>
                </c:pt>
                <c:pt idx="11">
                  <c:v>6</c:v>
                </c:pt>
                <c:pt idx="12">
                  <c:v>0</c:v>
                </c:pt>
                <c:pt idx="13">
                  <c:v>1</c:v>
                </c:pt>
                <c:pt idx="14">
                  <c:v>11</c:v>
                </c:pt>
                <c:pt idx="15">
                  <c:v>0</c:v>
                </c:pt>
                <c:pt idx="16">
                  <c:v>0</c:v>
                </c:pt>
                <c:pt idx="17">
                  <c:v>0</c:v>
                </c:pt>
                <c:pt idx="18">
                  <c:v>0</c:v>
                </c:pt>
                <c:pt idx="19">
                  <c:v>0</c:v>
                </c:pt>
              </c:numCache>
            </c:numRef>
          </c:val>
          <c:extLst>
            <c:ext xmlns:c16="http://schemas.microsoft.com/office/drawing/2014/chart" uri="{C3380CC4-5D6E-409C-BE32-E72D297353CC}">
              <c16:uniqueId val="{00000005-8FCF-496A-B3FA-5955D62D5E5F}"/>
            </c:ext>
          </c:extLst>
        </c:ser>
        <c:dLbls>
          <c:showLegendKey val="0"/>
          <c:showVal val="0"/>
          <c:showCatName val="0"/>
          <c:showSerName val="0"/>
          <c:showPercent val="0"/>
          <c:showBubbleSize val="0"/>
        </c:dLbls>
        <c:gapWidth val="150"/>
        <c:overlap val="100"/>
        <c:axId val="400707840"/>
        <c:axId val="400708624"/>
        <c:extLst>
          <c:ext xmlns:c15="http://schemas.microsoft.com/office/drawing/2012/chart" uri="{02D57815-91ED-43cb-92C2-25804820EDAC}">
            <c15:filteredBarSeries>
              <c15:ser>
                <c:idx val="3"/>
                <c:order val="3"/>
                <c:tx>
                  <c:strRef>
                    <c:extLst>
                      <c:ext uri="{02D57815-91ED-43cb-92C2-25804820EDAC}">
                        <c15:formulaRef>
                          <c15:sqref>figures!#REF!</c15:sqref>
                        </c15:formulaRef>
                      </c:ext>
                    </c:extLst>
                    <c:strCache>
                      <c:ptCount val="1"/>
                      <c:pt idx="0">
                        <c:v>#REF!</c:v>
                      </c:pt>
                    </c:strCache>
                  </c:strRef>
                </c:tx>
                <c:spPr>
                  <a:solidFill>
                    <a:schemeClr val="accent4"/>
                  </a:solidFill>
                  <a:ln>
                    <a:noFill/>
                  </a:ln>
                  <a:effectLst/>
                </c:spPr>
                <c:invertIfNegative val="0"/>
                <c:cat>
                  <c:numRef>
                    <c:extLst>
                      <c:ext uri="{02D57815-91ED-43cb-92C2-25804820EDAC}">
                        <c15:formulaRef>
                          <c15:sqref>figures!$A$2:$A$21</c15:sqref>
                        </c15:formulaRef>
                      </c:ext>
                    </c:extLst>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extLst>
                      <c:ext uri="{02D57815-91ED-43cb-92C2-25804820EDAC}">
                        <c15:formulaRef>
                          <c15:sqref>figures!#REF!</c15:sqref>
                        </c15:formulaRef>
                      </c:ext>
                    </c:extLst>
                    <c:numCache>
                      <c:formatCode>General</c:formatCode>
                      <c:ptCount val="1"/>
                      <c:pt idx="0">
                        <c:v>1</c:v>
                      </c:pt>
                    </c:numCache>
                  </c:numRef>
                </c:val>
                <c:extLst>
                  <c:ext xmlns:c16="http://schemas.microsoft.com/office/drawing/2014/chart" uri="{C3380CC4-5D6E-409C-BE32-E72D297353CC}">
                    <c16:uniqueId val="{00000006-8FCF-496A-B3FA-5955D62D5E5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figures!$I$1</c15:sqref>
                        </c15:formulaRef>
                      </c:ext>
                    </c:extLst>
                    <c:strCache>
                      <c:ptCount val="1"/>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figures!$A$2:$A$21</c15:sqref>
                        </c15:formulaRef>
                      </c:ext>
                    </c:extLst>
                    <c:numCache>
                      <c:formatCode>[$-409]mmm\-yy;@</c:formatCode>
                      <c:ptCount val="20"/>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numCache>
                  </c:numRef>
                </c:cat>
                <c:val>
                  <c:numRef>
                    <c:extLst xmlns:c15="http://schemas.microsoft.com/office/drawing/2012/chart">
                      <c:ext xmlns:c15="http://schemas.microsoft.com/office/drawing/2012/chart" uri="{02D57815-91ED-43cb-92C2-25804820EDAC}">
                        <c15:formulaRef>
                          <c15:sqref>figures!$I$2:$I$21</c15:sqref>
                        </c15:formulaRef>
                      </c:ext>
                    </c:extLst>
                    <c:numCache>
                      <c:formatCode>General</c:formatCode>
                      <c:ptCount val="20"/>
                    </c:numCache>
                  </c:numRef>
                </c:val>
                <c:extLst xmlns:c15="http://schemas.microsoft.com/office/drawing/2012/chart">
                  <c:ext xmlns:c16="http://schemas.microsoft.com/office/drawing/2014/chart" uri="{C3380CC4-5D6E-409C-BE32-E72D297353CC}">
                    <c16:uniqueId val="{00000007-8FCF-496A-B3FA-5955D62D5E5F}"/>
                  </c:ext>
                </c:extLst>
              </c15:ser>
            </c15:filteredBarSeries>
          </c:ext>
        </c:extLst>
      </c:barChart>
      <c:dateAx>
        <c:axId val="400707840"/>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00708624"/>
        <c:crosses val="autoZero"/>
        <c:auto val="1"/>
        <c:lblOffset val="100"/>
        <c:baseTimeUnit val="months"/>
      </c:dateAx>
      <c:valAx>
        <c:axId val="400708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00707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2063</Words>
  <Characters>12999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ETH Zuerich</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Duursma  Allard</dc:creator>
  <cp:keywords/>
  <dc:description/>
  <cp:lastModifiedBy>Duursma  Allard</cp:lastModifiedBy>
  <cp:revision>11</cp:revision>
  <dcterms:created xsi:type="dcterms:W3CDTF">2019-06-10T11:18:00Z</dcterms:created>
  <dcterms:modified xsi:type="dcterms:W3CDTF">2019-10-25T11:24:00Z</dcterms:modified>
</cp:coreProperties>
</file>